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C1614" w14:textId="4534D14C" w:rsidR="00CC0AE9" w:rsidRPr="004976A7" w:rsidRDefault="00157F61" w:rsidP="00CC0AE9">
      <w:pPr>
        <w:spacing w:line="360" w:lineRule="auto"/>
        <w:ind w:left="142"/>
        <w:jc w:val="center"/>
        <w:rPr>
          <w:rFonts w:ascii="Century Gothic" w:hAnsi="Century Gothic" w:cs="Century Gothic"/>
          <w:sz w:val="20"/>
          <w:szCs w:val="20"/>
        </w:rPr>
      </w:pPr>
      <w:r>
        <w:rPr>
          <w:rFonts w:ascii="Century Gothic" w:hAnsi="Century Gothic"/>
          <w:noProof/>
        </w:rPr>
        <w:drawing>
          <wp:inline distT="0" distB="0" distL="0" distR="0" wp14:anchorId="019E3495" wp14:editId="2D53E9F5">
            <wp:extent cx="3189600" cy="770400"/>
            <wp:effectExtent l="0" t="0" r="0" b="0"/>
            <wp:docPr id="2" name="Obraz 2" descr="http://www.gaz-system.pl/fileadmin/centrum_prasowe/Logotypy/podstawowa/Logotyp_-_wers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z-system.pl/fileadmin/centrum_prasowe/Logotypy/podstawowa/Logotyp_-_wersja_pantone.jpg"/>
                    <pic:cNvPicPr>
                      <a:picLocks noChangeAspect="1" noChangeArrowheads="1"/>
                    </pic:cNvPicPr>
                  </pic:nvPicPr>
                  <pic:blipFill>
                    <a:blip r:embed="rId11" cstate="print"/>
                    <a:srcRect/>
                    <a:stretch>
                      <a:fillRect/>
                    </a:stretch>
                  </pic:blipFill>
                  <pic:spPr bwMode="auto">
                    <a:xfrm>
                      <a:off x="0" y="0"/>
                      <a:ext cx="3189600" cy="770400"/>
                    </a:xfrm>
                    <a:prstGeom prst="rect">
                      <a:avLst/>
                    </a:prstGeom>
                    <a:noFill/>
                    <a:ln w="9525">
                      <a:noFill/>
                      <a:miter lim="800000"/>
                      <a:headEnd/>
                      <a:tailEnd/>
                    </a:ln>
                  </pic:spPr>
                </pic:pic>
              </a:graphicData>
            </a:graphic>
          </wp:inline>
        </w:drawing>
      </w:r>
    </w:p>
    <w:p w14:paraId="2C67E498" w14:textId="77777777" w:rsidR="00CC0AE9" w:rsidRPr="004976A7" w:rsidRDefault="00CC0AE9" w:rsidP="00CC0AE9">
      <w:pPr>
        <w:spacing w:line="360" w:lineRule="auto"/>
        <w:jc w:val="center"/>
        <w:rPr>
          <w:rFonts w:ascii="Century Gothic" w:hAnsi="Century Gothic" w:cs="Century Gothic"/>
          <w:sz w:val="20"/>
          <w:szCs w:val="20"/>
        </w:rPr>
      </w:pPr>
    </w:p>
    <w:p w14:paraId="28B96134" w14:textId="77777777" w:rsidR="00CC0AE9" w:rsidRPr="004976A7" w:rsidRDefault="00CC0AE9" w:rsidP="00CC0AE9">
      <w:pPr>
        <w:spacing w:line="360" w:lineRule="auto"/>
        <w:jc w:val="center"/>
        <w:rPr>
          <w:rFonts w:ascii="Century Gothic" w:hAnsi="Century Gothic" w:cs="Century Gothic"/>
          <w:sz w:val="20"/>
          <w:szCs w:val="20"/>
        </w:rPr>
      </w:pPr>
    </w:p>
    <w:p w14:paraId="6AD2D464" w14:textId="17742273" w:rsidR="00CC0AE9" w:rsidRPr="00F36AD3" w:rsidRDefault="00CC0AE9" w:rsidP="00CC0AE9">
      <w:pPr>
        <w:spacing w:line="360" w:lineRule="auto"/>
        <w:jc w:val="center"/>
        <w:rPr>
          <w:rFonts w:ascii="Century Gothic" w:hAnsi="Century Gothic" w:cs="Century Gothic"/>
          <w:b/>
          <w:bCs/>
          <w:sz w:val="22"/>
          <w:szCs w:val="22"/>
          <w:lang w:val="pl-PL"/>
        </w:rPr>
      </w:pPr>
      <w:r w:rsidRPr="00F36AD3">
        <w:rPr>
          <w:rFonts w:ascii="Century Gothic" w:hAnsi="Century Gothic"/>
          <w:b/>
          <w:sz w:val="22"/>
          <w:lang w:val="pl-PL"/>
        </w:rPr>
        <w:t xml:space="preserve">Operator Gazociągów Przesyłowych </w:t>
      </w:r>
    </w:p>
    <w:p w14:paraId="352AEBA0" w14:textId="77777777" w:rsidR="00CC0AE9" w:rsidRPr="00F36AD3" w:rsidRDefault="00CC0AE9" w:rsidP="00CC0AE9">
      <w:pPr>
        <w:spacing w:line="360" w:lineRule="auto"/>
        <w:jc w:val="center"/>
        <w:rPr>
          <w:rFonts w:ascii="Century Gothic" w:hAnsi="Century Gothic" w:cs="Century Gothic"/>
          <w:b/>
          <w:bCs/>
          <w:sz w:val="22"/>
          <w:szCs w:val="22"/>
          <w:lang w:val="pl-PL"/>
        </w:rPr>
      </w:pPr>
      <w:r w:rsidRPr="00F36AD3">
        <w:rPr>
          <w:rFonts w:ascii="Century Gothic" w:hAnsi="Century Gothic"/>
          <w:b/>
          <w:sz w:val="22"/>
          <w:lang w:val="pl-PL"/>
        </w:rPr>
        <w:t>GAZ-SYSTEM S.A.</w:t>
      </w:r>
    </w:p>
    <w:p w14:paraId="4A9E3729" w14:textId="5D5A49B4" w:rsidR="00CC0AE9" w:rsidRPr="00F36AD3" w:rsidRDefault="00CC0AE9" w:rsidP="00CC0AE9">
      <w:pPr>
        <w:spacing w:line="360" w:lineRule="auto"/>
        <w:jc w:val="center"/>
        <w:rPr>
          <w:rFonts w:ascii="Century Gothic" w:hAnsi="Century Gothic" w:cs="Century Gothic"/>
          <w:b/>
          <w:bCs/>
          <w:sz w:val="18"/>
          <w:szCs w:val="18"/>
          <w:lang w:val="pl-PL"/>
        </w:rPr>
      </w:pPr>
    </w:p>
    <w:p w14:paraId="6BCA5382" w14:textId="77777777" w:rsidR="004314C6" w:rsidRPr="00F36AD3" w:rsidRDefault="004314C6" w:rsidP="00CC0AE9">
      <w:pPr>
        <w:spacing w:line="360" w:lineRule="auto"/>
        <w:jc w:val="center"/>
        <w:rPr>
          <w:rFonts w:ascii="Century Gothic" w:hAnsi="Century Gothic" w:cs="Century Gothic"/>
          <w:b/>
          <w:bCs/>
          <w:sz w:val="18"/>
          <w:szCs w:val="18"/>
          <w:lang w:val="pl-PL"/>
        </w:rPr>
      </w:pPr>
    </w:p>
    <w:p w14:paraId="32B6F829" w14:textId="4E60BF2C" w:rsidR="00CC0AE9" w:rsidRPr="00873CD5" w:rsidRDefault="00CC0AE9" w:rsidP="00CC0AE9">
      <w:pPr>
        <w:spacing w:line="360" w:lineRule="auto"/>
        <w:jc w:val="center"/>
        <w:rPr>
          <w:rFonts w:ascii="Century Gothic" w:hAnsi="Century Gothic" w:cs="Century Gothic"/>
          <w:b/>
          <w:bCs/>
          <w:sz w:val="20"/>
          <w:szCs w:val="20"/>
        </w:rPr>
      </w:pPr>
      <w:r>
        <w:rPr>
          <w:rFonts w:ascii="Century Gothic" w:hAnsi="Century Gothic"/>
          <w:b/>
          <w:sz w:val="20"/>
        </w:rPr>
        <w:t xml:space="preserve">TERMS OF REFERENCE IN A NON-PUBLIC PROCUREMENT PROCEDURE CONDUCTED AS AN OPEN TENDER </w:t>
      </w:r>
    </w:p>
    <w:p w14:paraId="305B15B0" w14:textId="77777777" w:rsidR="00CC0AE9" w:rsidRPr="00873CD5" w:rsidRDefault="00CC0AE9" w:rsidP="00CC0AE9">
      <w:pPr>
        <w:spacing w:line="360" w:lineRule="auto"/>
        <w:jc w:val="center"/>
        <w:rPr>
          <w:rFonts w:ascii="Century Gothic" w:hAnsi="Century Gothic" w:cs="Century Gothic"/>
          <w:b/>
          <w:bCs/>
          <w:sz w:val="20"/>
          <w:szCs w:val="20"/>
        </w:rPr>
      </w:pPr>
    </w:p>
    <w:p w14:paraId="278C6804" w14:textId="6ED0594B" w:rsidR="00CC0AE9" w:rsidRPr="00873CD5" w:rsidRDefault="004314C6" w:rsidP="00CC0AE9">
      <w:pPr>
        <w:spacing w:line="360" w:lineRule="auto"/>
        <w:jc w:val="center"/>
        <w:rPr>
          <w:rFonts w:ascii="Century Gothic" w:hAnsi="Century Gothic" w:cs="Century Gothic"/>
          <w:b/>
          <w:bCs/>
          <w:sz w:val="20"/>
          <w:szCs w:val="20"/>
        </w:rPr>
      </w:pPr>
      <w:r>
        <w:rPr>
          <w:rFonts w:ascii="Century Gothic" w:hAnsi="Century Gothic"/>
          <w:b/>
          <w:sz w:val="20"/>
        </w:rPr>
        <w:t>Procedure name: “Balancing Services at Branice (ID 372414) Entry Point.”</w:t>
      </w:r>
    </w:p>
    <w:p w14:paraId="60C3A961" w14:textId="78478BB3" w:rsidR="0007700F" w:rsidRPr="004976A7" w:rsidRDefault="009324A2" w:rsidP="004314C6">
      <w:pPr>
        <w:spacing w:line="360" w:lineRule="auto"/>
        <w:jc w:val="center"/>
        <w:rPr>
          <w:rFonts w:ascii="Century Gothic" w:hAnsi="Century Gothic" w:cs="Century Gothic"/>
          <w:sz w:val="20"/>
          <w:szCs w:val="20"/>
        </w:rPr>
      </w:pPr>
      <w:r>
        <w:rPr>
          <w:rFonts w:ascii="Century Gothic" w:hAnsi="Century Gothic"/>
          <w:b/>
          <w:sz w:val="20"/>
        </w:rPr>
        <w:t>Procedure number: NP/2023/07/0320/PK</w:t>
      </w:r>
    </w:p>
    <w:p w14:paraId="3E5FF5FB" w14:textId="77777777" w:rsidR="008123CE" w:rsidRDefault="008123CE">
      <w:pPr>
        <w:spacing w:after="200" w:line="276" w:lineRule="auto"/>
        <w:rPr>
          <w:rFonts w:ascii="Century Gothic" w:hAnsi="Century Gothic" w:cs="Century Gothic"/>
          <w:sz w:val="20"/>
          <w:szCs w:val="20"/>
        </w:rPr>
      </w:pPr>
      <w:r>
        <w:br w:type="page"/>
      </w:r>
    </w:p>
    <w:p w14:paraId="5F2FB819" w14:textId="7092D07A" w:rsidR="00CC0AE9" w:rsidRPr="0050495A" w:rsidRDefault="00CC0AE9" w:rsidP="001E3493">
      <w:pPr>
        <w:spacing w:after="200" w:line="276" w:lineRule="auto"/>
        <w:rPr>
          <w:rFonts w:ascii="Century Gothic" w:hAnsi="Century Gothic" w:cs="Century Gothic"/>
          <w:sz w:val="20"/>
          <w:szCs w:val="20"/>
        </w:rPr>
      </w:pPr>
      <w:r>
        <w:rPr>
          <w:rFonts w:ascii="Century Gothic" w:hAnsi="Century Gothic"/>
          <w:sz w:val="20"/>
        </w:rPr>
        <w:lastRenderedPageBreak/>
        <w:t>Whenever a reference is made in these Terms of Reference to:</w:t>
      </w:r>
    </w:p>
    <w:p w14:paraId="2A66ADBF" w14:textId="05A892C6" w:rsidR="00CC0AE9" w:rsidRPr="00873CD5" w:rsidRDefault="00CC0AE9" w:rsidP="004248C4">
      <w:pPr>
        <w:pStyle w:val="Akapitzlist"/>
        <w:numPr>
          <w:ilvl w:val="3"/>
          <w:numId w:val="2"/>
        </w:numPr>
        <w:spacing w:line="360" w:lineRule="auto"/>
        <w:jc w:val="both"/>
        <w:rPr>
          <w:rFonts w:ascii="Century Gothic" w:hAnsi="Century Gothic" w:cs="Century Gothic"/>
          <w:sz w:val="20"/>
          <w:szCs w:val="20"/>
        </w:rPr>
      </w:pPr>
      <w:r>
        <w:rPr>
          <w:rFonts w:ascii="Century Gothic" w:hAnsi="Century Gothic"/>
          <w:b/>
          <w:sz w:val="20"/>
        </w:rPr>
        <w:t>„List of Unreliable Suppliers”</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a list of Contractors who have culpably failed to execute, improperly executed or are improperly executing a contract for the Contracting Entity, which has caused them to lose the credibility required of business partners and thus to consider that they will be unfit to execute further contracts for the Contracting Entity.</w:t>
      </w:r>
    </w:p>
    <w:p w14:paraId="4599262C" w14:textId="33C999D8" w:rsidR="002154A7" w:rsidRPr="00873CD5" w:rsidRDefault="002154A7" w:rsidP="004248C4">
      <w:pPr>
        <w:pStyle w:val="Akapitzlist"/>
        <w:numPr>
          <w:ilvl w:val="3"/>
          <w:numId w:val="2"/>
        </w:numPr>
        <w:spacing w:line="360" w:lineRule="auto"/>
        <w:jc w:val="both"/>
        <w:rPr>
          <w:rFonts w:ascii="Century Gothic" w:hAnsi="Century Gothic" w:cs="Century Gothic"/>
          <w:sz w:val="20"/>
          <w:szCs w:val="20"/>
        </w:rPr>
      </w:pPr>
      <w:r>
        <w:rPr>
          <w:rFonts w:ascii="Century Gothic" w:hAnsi="Century Gothic"/>
          <w:b/>
          <w:sz w:val="20"/>
        </w:rPr>
        <w:t xml:space="preserve">“Procurement Portal” </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the Procurement Platform of GAZ-SYSTEM S.A., available at</w:t>
      </w:r>
      <w:r>
        <w:t xml:space="preserve"> </w:t>
      </w:r>
      <w:bookmarkStart w:id="0" w:name="_Hlk107827910"/>
      <w:r w:rsidR="00E65AF7">
        <w:rPr>
          <w:rFonts w:ascii="Century Gothic" w:hAnsi="Century Gothic" w:cs="Century Gothic"/>
          <w:sz w:val="20"/>
        </w:rPr>
        <w:fldChar w:fldCharType="begin"/>
      </w:r>
      <w:r w:rsidR="00E65AF7">
        <w:rPr>
          <w:rFonts w:ascii="Century Gothic" w:hAnsi="Century Gothic" w:cs="Century Gothic"/>
          <w:sz w:val="20"/>
        </w:rPr>
        <w:instrText xml:space="preserve"> HYPERLINK "https://portal.gaz-system.pl/" </w:instrText>
      </w:r>
      <w:r w:rsidR="00E65AF7">
        <w:rPr>
          <w:rFonts w:ascii="Century Gothic" w:hAnsi="Century Gothic" w:cs="Century Gothic"/>
          <w:sz w:val="20"/>
        </w:rPr>
        <w:fldChar w:fldCharType="separate"/>
      </w:r>
      <w:r>
        <w:rPr>
          <w:rStyle w:val="Hipercze"/>
          <w:rFonts w:ascii="Century Gothic" w:hAnsi="Century Gothic"/>
          <w:sz w:val="20"/>
        </w:rPr>
        <w:t>https://portal.gaz-system.pl/</w:t>
      </w:r>
      <w:r w:rsidR="00E65AF7">
        <w:rPr>
          <w:rFonts w:ascii="Century Gothic" w:hAnsi="Century Gothic" w:cs="Century Gothic"/>
          <w:sz w:val="20"/>
        </w:rPr>
        <w:fldChar w:fldCharType="end"/>
      </w:r>
      <w:r>
        <w:rPr>
          <w:rFonts w:ascii="Century Gothic" w:hAnsi="Century Gothic"/>
          <w:sz w:val="20"/>
        </w:rPr>
        <w:t>.</w:t>
      </w:r>
      <w:bookmarkEnd w:id="0"/>
    </w:p>
    <w:p w14:paraId="40244830" w14:textId="7532816B" w:rsidR="00CC0AE9" w:rsidRPr="00873CD5" w:rsidRDefault="00CC0AE9"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Pr>
          <w:rFonts w:ascii="Century Gothic" w:hAnsi="Century Gothic"/>
          <w:b/>
          <w:sz w:val="20"/>
        </w:rPr>
        <w:t>„Procedure”</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 xml:space="preserve">shall mean the </w:t>
      </w:r>
      <w:r w:rsidR="00F36AD3">
        <w:rPr>
          <w:rFonts w:ascii="Century Gothic" w:hAnsi="Century Gothic"/>
          <w:sz w:val="20"/>
        </w:rPr>
        <w:t>c</w:t>
      </w:r>
      <w:r>
        <w:rPr>
          <w:rFonts w:ascii="Century Gothic" w:hAnsi="Century Gothic"/>
          <w:sz w:val="20"/>
        </w:rPr>
        <w:t xml:space="preserve">ontract </w:t>
      </w:r>
      <w:r w:rsidR="00F36AD3">
        <w:rPr>
          <w:rFonts w:ascii="Century Gothic" w:hAnsi="Century Gothic"/>
          <w:sz w:val="20"/>
        </w:rPr>
        <w:t>a</w:t>
      </w:r>
      <w:r>
        <w:rPr>
          <w:rFonts w:ascii="Century Gothic" w:hAnsi="Century Gothic"/>
          <w:sz w:val="20"/>
        </w:rPr>
        <w:t xml:space="preserve">ward </w:t>
      </w:r>
      <w:r w:rsidR="00F36AD3">
        <w:rPr>
          <w:rFonts w:ascii="Century Gothic" w:hAnsi="Century Gothic"/>
          <w:sz w:val="20"/>
        </w:rPr>
        <w:t>p</w:t>
      </w:r>
      <w:r>
        <w:rPr>
          <w:rFonts w:ascii="Century Gothic" w:hAnsi="Century Gothic"/>
          <w:sz w:val="20"/>
        </w:rPr>
        <w:t>rocedure conducted as an open tender.</w:t>
      </w:r>
    </w:p>
    <w:p w14:paraId="4AF21E12" w14:textId="4F3E0B03" w:rsidR="00CC0AE9" w:rsidRPr="00873CD5" w:rsidRDefault="00CC0AE9"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Pr>
          <w:rFonts w:ascii="Century Gothic" w:hAnsi="Century Gothic"/>
          <w:b/>
          <w:sz w:val="20"/>
        </w:rPr>
        <w:t>“Terms” or “ToR”</w:t>
      </w:r>
      <w:r>
        <w:rPr>
          <w:rFonts w:ascii="Century Gothic" w:hAnsi="Century Gothic"/>
          <w:sz w:val="20"/>
        </w:rPr>
        <w:t xml:space="preserve"> – </w:t>
      </w:r>
      <w:r w:rsidR="00E91EAD">
        <w:rPr>
          <w:rFonts w:ascii="Century Gothic" w:hAnsi="Century Gothic"/>
          <w:sz w:val="20"/>
        </w:rPr>
        <w:t>it</w:t>
      </w:r>
      <w:r>
        <w:rPr>
          <w:rFonts w:ascii="Century Gothic" w:hAnsi="Century Gothic"/>
          <w:sz w:val="20"/>
        </w:rPr>
        <w:t xml:space="preserve"> shall mean these Terms of Reference including Appendices. </w:t>
      </w:r>
    </w:p>
    <w:p w14:paraId="45788110" w14:textId="0021A305" w:rsidR="00CC0AE9" w:rsidRPr="004314C6" w:rsidRDefault="004314C6"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Pr>
          <w:rFonts w:ascii="Century Gothic" w:hAnsi="Century Gothic"/>
          <w:b/>
          <w:sz w:val="20"/>
        </w:rPr>
        <w:t>“Contractor”</w:t>
      </w:r>
      <w:r>
        <w:rPr>
          <w:rFonts w:ascii="Century Gothic" w:hAnsi="Century Gothic"/>
          <w:sz w:val="20"/>
        </w:rPr>
        <w:t xml:space="preserve"> or </w:t>
      </w:r>
      <w:r>
        <w:rPr>
          <w:rFonts w:ascii="Century Gothic" w:hAnsi="Century Gothic"/>
          <w:b/>
          <w:sz w:val="20"/>
        </w:rPr>
        <w:t>“Supplier”</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a natural person, a legal person or an organisational entity not having legal personality that offers on the market the execution of works or a work, supply of products or provision of services or competes for the award of the Contract, has submitted a tender or entered into a procurement contract or framework agreement. Contractor or Supplier shall also mean entities jointly bidding for the award of the Contract.</w:t>
      </w:r>
    </w:p>
    <w:p w14:paraId="3AFC2B90" w14:textId="209CCD6D" w:rsidR="00CC0AE9" w:rsidRPr="004314C6" w:rsidRDefault="00064C51" w:rsidP="00CC0AE9">
      <w:pPr>
        <w:numPr>
          <w:ilvl w:val="0"/>
          <w:numId w:val="2"/>
        </w:numPr>
        <w:tabs>
          <w:tab w:val="left" w:pos="-2977"/>
        </w:tabs>
        <w:spacing w:line="360" w:lineRule="auto"/>
        <w:jc w:val="both"/>
        <w:rPr>
          <w:rFonts w:ascii="Century Gothic" w:hAnsi="Century Gothic" w:cs="Century Gothic"/>
          <w:sz w:val="20"/>
          <w:szCs w:val="20"/>
        </w:rPr>
      </w:pPr>
      <w:r>
        <w:rPr>
          <w:rFonts w:ascii="Century Gothic" w:hAnsi="Century Gothic"/>
          <w:b/>
          <w:sz w:val="20"/>
        </w:rPr>
        <w:t>“Appendix”</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shall mean any document named as such and attached to the Terms, forming an integral part thereof.</w:t>
      </w:r>
    </w:p>
    <w:p w14:paraId="77200A9A" w14:textId="0A23B00F" w:rsidR="00CC0AE9" w:rsidRPr="004314C6" w:rsidRDefault="00CC0AE9" w:rsidP="00CC0AE9">
      <w:pPr>
        <w:numPr>
          <w:ilvl w:val="0"/>
          <w:numId w:val="2"/>
        </w:numPr>
        <w:tabs>
          <w:tab w:val="left" w:pos="-2977"/>
        </w:tabs>
        <w:spacing w:line="360" w:lineRule="auto"/>
        <w:jc w:val="both"/>
        <w:rPr>
          <w:rFonts w:ascii="Century Gothic" w:hAnsi="Century Gothic" w:cs="Century Gothic"/>
          <w:sz w:val="20"/>
          <w:szCs w:val="20"/>
        </w:rPr>
      </w:pPr>
      <w:r>
        <w:rPr>
          <w:rFonts w:ascii="Century Gothic" w:hAnsi="Century Gothic"/>
          <w:b/>
          <w:sz w:val="20"/>
        </w:rPr>
        <w:t>“Contracting Entity”</w:t>
      </w:r>
      <w:r>
        <w:rPr>
          <w:rFonts w:ascii="Century Gothic" w:hAnsi="Century Gothic"/>
          <w:sz w:val="20"/>
        </w:rPr>
        <w:t xml:space="preserve"> – </w:t>
      </w:r>
      <w:r w:rsidR="00E91EAD">
        <w:rPr>
          <w:rFonts w:ascii="Century Gothic" w:hAnsi="Century Gothic"/>
          <w:sz w:val="20"/>
        </w:rPr>
        <w:t xml:space="preserve">it </w:t>
      </w:r>
      <w:r>
        <w:rPr>
          <w:rFonts w:ascii="Century Gothic" w:hAnsi="Century Gothic"/>
          <w:sz w:val="20"/>
        </w:rPr>
        <w:t xml:space="preserve">shall mean Operator Gazociągów Przesyłowych GAZ-SYSTEM S.A. </w:t>
      </w:r>
    </w:p>
    <w:p w14:paraId="2343A73D" w14:textId="77777777" w:rsidR="00CC5884" w:rsidRPr="004314C6" w:rsidRDefault="00CC0AE9" w:rsidP="00064C51">
      <w:pPr>
        <w:numPr>
          <w:ilvl w:val="0"/>
          <w:numId w:val="2"/>
        </w:numPr>
        <w:tabs>
          <w:tab w:val="left" w:pos="-2977"/>
        </w:tabs>
        <w:spacing w:line="360" w:lineRule="auto"/>
        <w:jc w:val="both"/>
        <w:rPr>
          <w:rFonts w:ascii="Century Gothic" w:hAnsi="Century Gothic" w:cs="Century Gothic"/>
          <w:sz w:val="20"/>
          <w:szCs w:val="20"/>
        </w:rPr>
      </w:pPr>
      <w:r>
        <w:rPr>
          <w:rFonts w:ascii="Century Gothic" w:hAnsi="Century Gothic"/>
          <w:b/>
          <w:sz w:val="20"/>
        </w:rPr>
        <w:t xml:space="preserve">„Contract” </w:t>
      </w:r>
      <w:r>
        <w:rPr>
          <w:rFonts w:ascii="Century Gothic" w:hAnsi="Century Gothic"/>
          <w:sz w:val="20"/>
        </w:rPr>
        <w:t>– shall mean a non-public contract, the subject of which is defined in Chapter III of the Terms.</w:t>
      </w:r>
    </w:p>
    <w:p w14:paraId="75739B36" w14:textId="77777777" w:rsidR="00CC0AE9" w:rsidRPr="004976A7" w:rsidRDefault="00CC0AE9" w:rsidP="00CC0AE9">
      <w:pPr>
        <w:tabs>
          <w:tab w:val="left" w:pos="7200"/>
        </w:tabs>
        <w:spacing w:line="360" w:lineRule="auto"/>
        <w:jc w:val="both"/>
        <w:rPr>
          <w:rFonts w:ascii="Century Gothic" w:hAnsi="Century Gothic" w:cs="Century Gothic"/>
          <w:sz w:val="20"/>
          <w:szCs w:val="20"/>
          <w:highlight w:val="yellow"/>
        </w:rPr>
      </w:pPr>
    </w:p>
    <w:p w14:paraId="6F164E77" w14:textId="77777777" w:rsidR="00CC0AE9" w:rsidRPr="004976A7"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bookmarkStart w:id="1" w:name="_Toc115677406"/>
      <w:r>
        <w:rPr>
          <w:rFonts w:ascii="Century Gothic" w:hAnsi="Century Gothic"/>
          <w:b/>
          <w:sz w:val="20"/>
        </w:rPr>
        <w:t>INFORMATION ABOUT THE CONTRACTING ENTITY</w:t>
      </w:r>
      <w:bookmarkEnd w:id="1"/>
    </w:p>
    <w:p w14:paraId="45CD2224" w14:textId="77777777" w:rsidR="00CC0AE9" w:rsidRPr="00F36AD3" w:rsidRDefault="00CC0AE9" w:rsidP="00CC0AE9">
      <w:pPr>
        <w:spacing w:line="360" w:lineRule="auto"/>
        <w:jc w:val="both"/>
        <w:rPr>
          <w:rFonts w:ascii="Century Gothic" w:hAnsi="Century Gothic" w:cs="Century Gothic"/>
          <w:b/>
          <w:bCs/>
          <w:sz w:val="20"/>
          <w:szCs w:val="20"/>
          <w:lang w:val="pl-PL"/>
        </w:rPr>
      </w:pPr>
      <w:r w:rsidRPr="00F36AD3">
        <w:rPr>
          <w:rFonts w:ascii="Century Gothic" w:hAnsi="Century Gothic"/>
          <w:b/>
          <w:sz w:val="20"/>
          <w:lang w:val="pl-PL"/>
        </w:rPr>
        <w:t>Operator Gazociągów Przesyłowych GAZ-SYSTEM S.A.</w:t>
      </w:r>
    </w:p>
    <w:p w14:paraId="69A3A31B" w14:textId="77777777" w:rsidR="00CC0AE9" w:rsidRPr="00F36AD3" w:rsidRDefault="00CC0AE9" w:rsidP="00CC0AE9">
      <w:pPr>
        <w:spacing w:line="360" w:lineRule="auto"/>
        <w:jc w:val="both"/>
        <w:rPr>
          <w:rFonts w:ascii="Century Gothic" w:hAnsi="Century Gothic" w:cs="Century Gothic"/>
          <w:b/>
          <w:bCs/>
          <w:sz w:val="20"/>
          <w:szCs w:val="20"/>
          <w:lang w:val="pl-PL"/>
        </w:rPr>
      </w:pPr>
      <w:r w:rsidRPr="00F36AD3">
        <w:rPr>
          <w:rFonts w:ascii="Century Gothic" w:hAnsi="Century Gothic"/>
          <w:b/>
          <w:sz w:val="20"/>
          <w:lang w:val="pl-PL"/>
        </w:rPr>
        <w:t>ul. Mszczonowska 4; 02-337 Warszawa</w:t>
      </w:r>
    </w:p>
    <w:p w14:paraId="45B52F74" w14:textId="65C2907A" w:rsidR="00D00EFD" w:rsidRPr="00F36AD3" w:rsidRDefault="00CC0AE9" w:rsidP="00CC0AE9">
      <w:pPr>
        <w:spacing w:line="360" w:lineRule="auto"/>
        <w:jc w:val="both"/>
        <w:rPr>
          <w:rFonts w:ascii="Century Gothic" w:hAnsi="Century Gothic" w:cs="Century Gothic"/>
          <w:sz w:val="20"/>
          <w:szCs w:val="20"/>
          <w:lang w:val="pl-PL"/>
        </w:rPr>
      </w:pPr>
      <w:r w:rsidRPr="00F36AD3">
        <w:rPr>
          <w:rFonts w:ascii="Century Gothic" w:hAnsi="Century Gothic"/>
          <w:sz w:val="20"/>
          <w:lang w:val="pl-PL"/>
        </w:rPr>
        <w:t>Telephone: +48 22,220 18 00</w:t>
      </w:r>
    </w:p>
    <w:p w14:paraId="04126BC5" w14:textId="4DC34B8F" w:rsidR="00CC0AE9" w:rsidRPr="00F36AD3" w:rsidRDefault="00CC0AE9" w:rsidP="00CC0AE9">
      <w:pPr>
        <w:spacing w:line="360" w:lineRule="auto"/>
        <w:jc w:val="both"/>
        <w:rPr>
          <w:rFonts w:ascii="Century Gothic" w:hAnsi="Century Gothic"/>
          <w:sz w:val="20"/>
          <w:szCs w:val="20"/>
          <w:lang w:val="pl-PL"/>
        </w:rPr>
      </w:pPr>
      <w:r w:rsidRPr="00F36AD3">
        <w:rPr>
          <w:rFonts w:ascii="Century Gothic" w:hAnsi="Century Gothic"/>
          <w:sz w:val="20"/>
          <w:lang w:val="pl-PL"/>
        </w:rPr>
        <w:t xml:space="preserve">Internet address (URL): </w:t>
      </w:r>
      <w:hyperlink r:id="rId12" w:history="1">
        <w:r w:rsidRPr="00F36AD3">
          <w:rPr>
            <w:rStyle w:val="Hipercze"/>
            <w:rFonts w:ascii="Century Gothic" w:hAnsi="Century Gothic"/>
            <w:sz w:val="20"/>
            <w:lang w:val="pl-PL"/>
          </w:rPr>
          <w:t>www.gaz-system.pl</w:t>
        </w:r>
      </w:hyperlink>
    </w:p>
    <w:p w14:paraId="51BD1DBC" w14:textId="77777777" w:rsidR="00CC0AE9" w:rsidRPr="00F36AD3" w:rsidRDefault="00CC0AE9" w:rsidP="00CC0AE9">
      <w:pPr>
        <w:spacing w:line="360" w:lineRule="auto"/>
        <w:rPr>
          <w:rFonts w:ascii="Century Gothic" w:hAnsi="Century Gothic" w:cs="Century Gothic"/>
          <w:b/>
          <w:bCs/>
          <w:sz w:val="20"/>
          <w:szCs w:val="20"/>
          <w:highlight w:val="yellow"/>
          <w:lang w:val="pl-PL"/>
        </w:rPr>
      </w:pPr>
    </w:p>
    <w:p w14:paraId="5F2AA5D6" w14:textId="77777777" w:rsidR="00CC0AE9" w:rsidRPr="00873CD5"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sz w:val="20"/>
          <w:szCs w:val="20"/>
        </w:rPr>
      </w:pPr>
      <w:bookmarkStart w:id="2" w:name="_Toc115677407"/>
      <w:r>
        <w:rPr>
          <w:rFonts w:ascii="Century Gothic" w:hAnsi="Century Gothic"/>
          <w:b/>
          <w:sz w:val="20"/>
        </w:rPr>
        <w:t>PROCUREMENT PROCEDURE TYPE</w:t>
      </w:r>
      <w:bookmarkEnd w:id="2"/>
    </w:p>
    <w:p w14:paraId="0228FC34" w14:textId="77777777" w:rsidR="00CC0AE9" w:rsidRPr="00873CD5" w:rsidRDefault="00CC0AE9" w:rsidP="00CC0AE9">
      <w:pPr>
        <w:pStyle w:val="Styl1"/>
        <w:numPr>
          <w:ilvl w:val="1"/>
          <w:numId w:val="1"/>
        </w:numPr>
        <w:suppressAutoHyphens w:val="0"/>
        <w:spacing w:before="0" w:after="0" w:line="360" w:lineRule="auto"/>
        <w:jc w:val="both"/>
        <w:rPr>
          <w:rFonts w:cs="Times New Roman"/>
          <w:b w:val="0"/>
          <w:bCs w:val="0"/>
          <w:sz w:val="20"/>
          <w:szCs w:val="20"/>
        </w:rPr>
      </w:pPr>
      <w:bookmarkStart w:id="3" w:name="_Toc115677408"/>
      <w:r>
        <w:rPr>
          <w:b w:val="0"/>
          <w:sz w:val="20"/>
        </w:rPr>
        <w:t>The Procedure shall be conducted in the form of an open tender on the terms and conditions defined in these Terms.</w:t>
      </w:r>
    </w:p>
    <w:p w14:paraId="79601B39" w14:textId="1EE95832" w:rsidR="00CC0AE9" w:rsidRPr="00873CD5" w:rsidRDefault="00CC0AE9" w:rsidP="00CC0AE9">
      <w:pPr>
        <w:pStyle w:val="Styl1"/>
        <w:numPr>
          <w:ilvl w:val="1"/>
          <w:numId w:val="1"/>
        </w:numPr>
        <w:suppressAutoHyphens w:val="0"/>
        <w:spacing w:before="0" w:after="0" w:line="360" w:lineRule="auto"/>
        <w:jc w:val="both"/>
        <w:rPr>
          <w:b w:val="0"/>
          <w:bCs w:val="0"/>
          <w:sz w:val="20"/>
          <w:szCs w:val="20"/>
        </w:rPr>
      </w:pPr>
      <w:r>
        <w:rPr>
          <w:b w:val="0"/>
          <w:sz w:val="20"/>
        </w:rPr>
        <w:t>An open tender is a procedure for awarding a non-public procurement contract in which, in response to a public announcement of a non-public procurement</w:t>
      </w:r>
      <w:r w:rsidR="006B0699">
        <w:rPr>
          <w:b w:val="0"/>
          <w:sz w:val="20"/>
        </w:rPr>
        <w:t xml:space="preserve"> contract</w:t>
      </w:r>
      <w:r>
        <w:rPr>
          <w:b w:val="0"/>
          <w:sz w:val="20"/>
        </w:rPr>
        <w:t xml:space="preserve">, </w:t>
      </w:r>
      <w:r w:rsidR="00E91EAD">
        <w:rPr>
          <w:b w:val="0"/>
          <w:sz w:val="20"/>
        </w:rPr>
        <w:t>tender</w:t>
      </w:r>
      <w:r>
        <w:rPr>
          <w:b w:val="0"/>
          <w:sz w:val="20"/>
        </w:rPr>
        <w:t xml:space="preserve">s may be submitted by all potential Contractors who want to participate. The announcement of a Contract Award Procedure conducted as an open tender are published on the Contracting Entity’s website. </w:t>
      </w:r>
    </w:p>
    <w:p w14:paraId="77014CB9" w14:textId="42CB25E4" w:rsidR="00CC0AE9" w:rsidRPr="00873CD5" w:rsidRDefault="00CC0AE9" w:rsidP="00CC0AE9">
      <w:pPr>
        <w:pStyle w:val="Styl1"/>
        <w:numPr>
          <w:ilvl w:val="1"/>
          <w:numId w:val="1"/>
        </w:numPr>
        <w:suppressAutoHyphens w:val="0"/>
        <w:spacing w:before="0" w:after="0" w:line="360" w:lineRule="auto"/>
        <w:jc w:val="both"/>
        <w:rPr>
          <w:rFonts w:cs="Times New Roman"/>
          <w:b w:val="0"/>
          <w:bCs w:val="0"/>
          <w:sz w:val="20"/>
          <w:szCs w:val="20"/>
        </w:rPr>
      </w:pPr>
      <w:r>
        <w:rPr>
          <w:b w:val="0"/>
          <w:sz w:val="20"/>
        </w:rPr>
        <w:lastRenderedPageBreak/>
        <w:t>The provisions of the Act of 11 September 2019 – Public Procurement Law (consolidated text: JoL 2022</w:t>
      </w:r>
      <w:r w:rsidR="005A5AAC">
        <w:rPr>
          <w:b w:val="0"/>
          <w:sz w:val="20"/>
        </w:rPr>
        <w:t>,</w:t>
      </w:r>
      <w:r>
        <w:rPr>
          <w:b w:val="0"/>
          <w:sz w:val="20"/>
        </w:rPr>
        <w:t xml:space="preserve"> item 1710, as amended) </w:t>
      </w:r>
      <w:r>
        <w:rPr>
          <w:b w:val="0"/>
          <w:sz w:val="20"/>
          <w:u w:val="single"/>
        </w:rPr>
        <w:t>shall not</w:t>
      </w:r>
      <w:r>
        <w:rPr>
          <w:b w:val="0"/>
          <w:sz w:val="20"/>
        </w:rPr>
        <w:t xml:space="preserve"> apply to this Procedure.  </w:t>
      </w:r>
    </w:p>
    <w:p w14:paraId="07E93F16" w14:textId="77777777" w:rsidR="00CC0AE9" w:rsidRPr="004976A7" w:rsidRDefault="00CC0AE9" w:rsidP="00CC0AE9">
      <w:pPr>
        <w:pStyle w:val="Styl1"/>
        <w:numPr>
          <w:ilvl w:val="0"/>
          <w:numId w:val="0"/>
        </w:numPr>
        <w:suppressAutoHyphens w:val="0"/>
        <w:spacing w:before="0" w:after="0" w:line="360" w:lineRule="auto"/>
        <w:ind w:left="284"/>
        <w:jc w:val="both"/>
        <w:rPr>
          <w:rFonts w:cs="Times New Roman"/>
          <w:b w:val="0"/>
          <w:bCs w:val="0"/>
          <w:sz w:val="20"/>
          <w:szCs w:val="20"/>
        </w:rPr>
      </w:pPr>
    </w:p>
    <w:p w14:paraId="1A25D56F" w14:textId="77777777" w:rsidR="00CC0AE9" w:rsidRPr="004976A7"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sz w:val="20"/>
          <w:szCs w:val="20"/>
        </w:rPr>
      </w:pPr>
      <w:r>
        <w:rPr>
          <w:rFonts w:ascii="Century Gothic" w:hAnsi="Century Gothic"/>
          <w:b/>
          <w:sz w:val="20"/>
        </w:rPr>
        <w:t>SUBJECT OF THE CONTRACT</w:t>
      </w:r>
      <w:bookmarkEnd w:id="3"/>
    </w:p>
    <w:p w14:paraId="3879BDC5" w14:textId="380A3FE5" w:rsidR="00CC0AE9" w:rsidRPr="0050495A" w:rsidRDefault="00CC0AE9" w:rsidP="00CC0AE9">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Pr>
          <w:rFonts w:ascii="Century Gothic" w:hAnsi="Century Gothic"/>
          <w:sz w:val="20"/>
        </w:rPr>
        <w:t>Subject of the Contract is the provision of balancing services at Branice (ID 372414) entry point to the transmission system.</w:t>
      </w:r>
    </w:p>
    <w:p w14:paraId="40C2FD8C" w14:textId="77777777" w:rsidR="00873CD5" w:rsidRPr="007F7528" w:rsidRDefault="00873CD5" w:rsidP="00873CD5">
      <w:pPr>
        <w:widowControl w:val="0"/>
        <w:numPr>
          <w:ilvl w:val="0"/>
          <w:numId w:val="4"/>
        </w:numPr>
        <w:tabs>
          <w:tab w:val="clear" w:pos="357"/>
        </w:tabs>
        <w:autoSpaceDE w:val="0"/>
        <w:autoSpaceDN w:val="0"/>
        <w:adjustRightInd w:val="0"/>
        <w:spacing w:line="360" w:lineRule="auto"/>
        <w:ind w:left="426" w:hanging="426"/>
        <w:jc w:val="both"/>
        <w:rPr>
          <w:rFonts w:ascii="Century Gothic" w:hAnsi="Century Gothic" w:cs="Century Gothic"/>
          <w:sz w:val="20"/>
          <w:szCs w:val="20"/>
        </w:rPr>
      </w:pPr>
      <w:r>
        <w:rPr>
          <w:rFonts w:ascii="Century Gothic" w:hAnsi="Century Gothic"/>
          <w:sz w:val="20"/>
        </w:rPr>
        <w:t>The balancing services shall be provided pursuant to Article 8 of the Commission Regulation (EU) No. 312/2014 of 26 March 2014 establishing a Network Code on Gas Balancing on Transmission Networks.</w:t>
      </w:r>
    </w:p>
    <w:p w14:paraId="54F44FE0" w14:textId="144CB406" w:rsidR="00873CD5" w:rsidRPr="00873CD5" w:rsidRDefault="00873CD5" w:rsidP="00873CD5">
      <w:pPr>
        <w:widowControl w:val="0"/>
        <w:numPr>
          <w:ilvl w:val="0"/>
          <w:numId w:val="4"/>
        </w:numPr>
        <w:tabs>
          <w:tab w:val="clear" w:pos="357"/>
        </w:tabs>
        <w:autoSpaceDE w:val="0"/>
        <w:autoSpaceDN w:val="0"/>
        <w:adjustRightInd w:val="0"/>
        <w:spacing w:line="360" w:lineRule="auto"/>
        <w:ind w:left="426" w:hanging="426"/>
        <w:jc w:val="both"/>
        <w:rPr>
          <w:rFonts w:ascii="Century Gothic" w:hAnsi="Century Gothic" w:cs="Century Gothic"/>
          <w:sz w:val="20"/>
          <w:szCs w:val="20"/>
        </w:rPr>
      </w:pPr>
      <w:r>
        <w:rPr>
          <w:rFonts w:ascii="Century Gothic" w:hAnsi="Century Gothic"/>
          <w:sz w:val="20"/>
        </w:rPr>
        <w:t xml:space="preserve">Balancing services shall consist of the supply of high-methane gas (Group E) at Branice (ID 372414) entry point between 1 October 2023, 06:00 and 1 October 2024, 06:00 a.m., in amounts resulting from the demand of end-users connected to the gas </w:t>
      </w:r>
      <w:r w:rsidR="005A5AAC">
        <w:rPr>
          <w:rFonts w:ascii="Century Gothic" w:hAnsi="Century Gothic"/>
          <w:sz w:val="20"/>
        </w:rPr>
        <w:t>network</w:t>
      </w:r>
      <w:r>
        <w:rPr>
          <w:rFonts w:ascii="Century Gothic" w:hAnsi="Century Gothic"/>
          <w:sz w:val="20"/>
        </w:rPr>
        <w:t xml:space="preserve"> in the area supplied from this entry point.</w:t>
      </w:r>
    </w:p>
    <w:p w14:paraId="3171FC1E" w14:textId="3A331689" w:rsidR="00CC0AE9" w:rsidRPr="00873CD5" w:rsidRDefault="00CC0AE9" w:rsidP="00CC0AE9">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Pr>
          <w:rFonts w:ascii="Century Gothic" w:hAnsi="Century Gothic"/>
          <w:sz w:val="20"/>
        </w:rPr>
        <w:t xml:space="preserve">A detailed specification of the Subject of the Contract is set out in </w:t>
      </w:r>
      <w:r>
        <w:rPr>
          <w:rFonts w:ascii="Century Gothic" w:hAnsi="Century Gothic"/>
          <w:b/>
          <w:sz w:val="20"/>
        </w:rPr>
        <w:t>Appendix 2 to the ToR.</w:t>
      </w:r>
    </w:p>
    <w:p w14:paraId="1BCCA3C0" w14:textId="3475D6FE" w:rsidR="00742876" w:rsidRPr="00BB3621" w:rsidRDefault="00CC0AE9" w:rsidP="00873CD5">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Pr>
          <w:rFonts w:ascii="Century Gothic" w:hAnsi="Century Gothic"/>
          <w:sz w:val="20"/>
        </w:rPr>
        <w:t xml:space="preserve">The Contractor is obliged to become familiar with the content of the "Code of Conduct for Suppliers of Operator Gazociągów Przesyłowych GAZ-SYSTEM S.A." and adhere to its provisions during the Contract performance. “Code of Conduct for Suppliers of Operator Gazociągów Przesyłowych GAZ-SYSTEM S.A. is available on the Contracting Entity’s website: </w:t>
      </w:r>
      <w:hyperlink r:id="rId13" w:history="1">
        <w:r>
          <w:rPr>
            <w:rStyle w:val="Hipercze"/>
            <w:rFonts w:ascii="Century Gothic" w:hAnsi="Century Gothic"/>
            <w:sz w:val="20"/>
          </w:rPr>
          <w:t>https://www.gaz-system.pl/en/for-suppliers/our-standards/code-of-conduct-for-suppliers.html</w:t>
        </w:r>
      </w:hyperlink>
      <w:r>
        <w:rPr>
          <w:rFonts w:ascii="Century Gothic" w:hAnsi="Century Gothic"/>
          <w:sz w:val="20"/>
        </w:rPr>
        <w:t>.</w:t>
      </w:r>
    </w:p>
    <w:p w14:paraId="27C58F76" w14:textId="2D8AFCB0" w:rsidR="00BB3621" w:rsidRPr="00873CD5" w:rsidRDefault="00BB3621" w:rsidP="00873CD5">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sidRPr="00BB3621">
        <w:rPr>
          <w:rFonts w:ascii="Century Gothic" w:hAnsi="Century Gothic" w:cs="Century Gothic"/>
          <w:sz w:val="20"/>
          <w:szCs w:val="20"/>
        </w:rPr>
        <w:t>Where in the content of the Specification and Annexes to the Specification there is a reference to standards, technical assessments, technical specifications and technical reference systems, the Employer allows solutions equivalent to those described, and such a reference is accompanied by the words "or equivalent". The Contractor offering equivalent solutions is obliged to prove in the offer, on the terms set out in the "Offer" Form (Appendix No.</w:t>
      </w:r>
      <w:r>
        <w:rPr>
          <w:rFonts w:ascii="Century Gothic" w:hAnsi="Century Gothic" w:cs="Century Gothic"/>
          <w:sz w:val="20"/>
          <w:szCs w:val="20"/>
        </w:rPr>
        <w:t xml:space="preserve"> 3</w:t>
      </w:r>
      <w:r w:rsidRPr="00BB3621">
        <w:rPr>
          <w:rFonts w:ascii="Century Gothic" w:hAnsi="Century Gothic" w:cs="Century Gothic"/>
          <w:sz w:val="20"/>
          <w:szCs w:val="20"/>
        </w:rPr>
        <w:t xml:space="preserve"> to the </w:t>
      </w:r>
      <w:r>
        <w:rPr>
          <w:rFonts w:ascii="Century Gothic" w:hAnsi="Century Gothic" w:cs="Century Gothic"/>
          <w:sz w:val="20"/>
          <w:szCs w:val="20"/>
        </w:rPr>
        <w:t>ToR</w:t>
      </w:r>
      <w:r w:rsidRPr="00BB3621">
        <w:rPr>
          <w:rFonts w:ascii="Century Gothic" w:hAnsi="Century Gothic" w:cs="Century Gothic"/>
          <w:sz w:val="20"/>
          <w:szCs w:val="20"/>
        </w:rPr>
        <w:t>), that the proposed solutions meet the requirements set out in the description of the subject of the Order to an equivalent degree.</w:t>
      </w:r>
    </w:p>
    <w:p w14:paraId="3AF61536" w14:textId="77777777" w:rsidR="00803474" w:rsidRPr="00873CD5" w:rsidRDefault="00803474" w:rsidP="00803474">
      <w:pPr>
        <w:widowControl w:val="0"/>
        <w:autoSpaceDE w:val="0"/>
        <w:autoSpaceDN w:val="0"/>
        <w:adjustRightInd w:val="0"/>
        <w:spacing w:line="360" w:lineRule="auto"/>
        <w:jc w:val="both"/>
        <w:rPr>
          <w:rFonts w:ascii="Century Gothic" w:eastAsia="Century Gothic" w:hAnsi="Century Gothic" w:cs="Century Gothic"/>
          <w:sz w:val="20"/>
          <w:szCs w:val="20"/>
        </w:rPr>
      </w:pPr>
    </w:p>
    <w:p w14:paraId="04B18423" w14:textId="401A611C" w:rsidR="00CC0AE9" w:rsidRPr="00873CD5"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CONCERNING THE SUBMISSION OF PARTIAL, VARIANT AND SIMILAR TENDERS</w:t>
      </w:r>
    </w:p>
    <w:p w14:paraId="2926F105" w14:textId="58AEB3CD" w:rsidR="00CC0AE9" w:rsidRPr="00873CD5" w:rsidRDefault="00CC0AE9" w:rsidP="00BE508D">
      <w:pPr>
        <w:pStyle w:val="Akapitzlist"/>
        <w:numPr>
          <w:ilvl w:val="0"/>
          <w:numId w:val="7"/>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allow</w:t>
      </w:r>
      <w:r>
        <w:rPr>
          <w:rFonts w:ascii="Century Gothic" w:hAnsi="Century Gothic"/>
          <w:sz w:val="20"/>
        </w:rPr>
        <w:t xml:space="preserve"> partial tenders. </w:t>
      </w:r>
    </w:p>
    <w:p w14:paraId="55F914C9" w14:textId="4134B0EA" w:rsidR="00CC0AE9" w:rsidRPr="00873CD5" w:rsidRDefault="00CC0AE9" w:rsidP="00BE508D">
      <w:pPr>
        <w:pStyle w:val="Akapitzlist"/>
        <w:numPr>
          <w:ilvl w:val="0"/>
          <w:numId w:val="7"/>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allow</w:t>
      </w:r>
      <w:r>
        <w:rPr>
          <w:rFonts w:ascii="Century Gothic" w:hAnsi="Century Gothic"/>
          <w:sz w:val="20"/>
        </w:rPr>
        <w:t xml:space="preserve"> variant tenders.</w:t>
      </w:r>
    </w:p>
    <w:p w14:paraId="4585924A" w14:textId="1D73DB00" w:rsidR="00BE7CC7" w:rsidRPr="00873CD5" w:rsidRDefault="00BE7CC7" w:rsidP="00BE508D">
      <w:pPr>
        <w:pStyle w:val="Akapitzlist"/>
        <w:numPr>
          <w:ilvl w:val="0"/>
          <w:numId w:val="7"/>
        </w:numPr>
        <w:spacing w:line="360" w:lineRule="auto"/>
        <w:ind w:left="357" w:hanging="357"/>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anticipate</w:t>
      </w:r>
      <w:r>
        <w:rPr>
          <w:rFonts w:ascii="Century Gothic" w:hAnsi="Century Gothic"/>
          <w:sz w:val="20"/>
        </w:rPr>
        <w:t xml:space="preserve"> awarding the Contract for a similar service.</w:t>
      </w:r>
    </w:p>
    <w:p w14:paraId="2ABC47D2" w14:textId="77777777" w:rsidR="00CC0AE9" w:rsidRPr="004976A7" w:rsidRDefault="00CC0AE9" w:rsidP="00CC0AE9">
      <w:pPr>
        <w:pStyle w:val="Tekstpodstawowy"/>
        <w:spacing w:after="0" w:line="360" w:lineRule="auto"/>
        <w:jc w:val="both"/>
        <w:rPr>
          <w:rFonts w:ascii="Century Gothic" w:hAnsi="Century Gothic" w:cs="Century Gothic"/>
          <w:sz w:val="20"/>
          <w:szCs w:val="20"/>
          <w:highlight w:val="yellow"/>
        </w:rPr>
      </w:pPr>
    </w:p>
    <w:p w14:paraId="141C1497"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TIME LIMIT FOR THE CONTRACT PERFORMANCE</w:t>
      </w:r>
    </w:p>
    <w:p w14:paraId="3AA8157D" w14:textId="2C0C607A" w:rsidR="008175FA" w:rsidRPr="00873CD5" w:rsidRDefault="00873CD5" w:rsidP="00CC0AE9">
      <w:pPr>
        <w:tabs>
          <w:tab w:val="right" w:leader="underscore" w:pos="9072"/>
        </w:tabs>
        <w:spacing w:line="360" w:lineRule="auto"/>
        <w:jc w:val="both"/>
        <w:rPr>
          <w:rFonts w:ascii="Century Gothic" w:hAnsi="Century Gothic" w:cs="Century Gothic"/>
          <w:b/>
          <w:bCs/>
          <w:sz w:val="20"/>
          <w:szCs w:val="20"/>
        </w:rPr>
      </w:pPr>
      <w:r>
        <w:rPr>
          <w:rFonts w:ascii="Century Gothic" w:hAnsi="Century Gothic"/>
          <w:b/>
          <w:sz w:val="20"/>
        </w:rPr>
        <w:t>Time limit for the Contract performance:</w:t>
      </w:r>
      <w:r>
        <w:rPr>
          <w:rFonts w:ascii="Century Gothic" w:hAnsi="Century Gothic"/>
          <w:sz w:val="20"/>
        </w:rPr>
        <w:t xml:space="preserve"> the period starting on 1 October 2023 at 06:00 and ending on 1 October 2023 at 06:00 or until the provision of the balancing services is not required </w:t>
      </w:r>
      <w:r>
        <w:rPr>
          <w:rFonts w:ascii="Century Gothic" w:hAnsi="Century Gothic"/>
          <w:sz w:val="20"/>
        </w:rPr>
        <w:lastRenderedPageBreak/>
        <w:t xml:space="preserve">in accordance with § 5 of Appendix 1 to the ToR (Draft Contract) or up to the amount indicated in § </w:t>
      </w:r>
      <w:r w:rsidR="00BB3621">
        <w:rPr>
          <w:rFonts w:ascii="Century Gothic" w:hAnsi="Century Gothic"/>
          <w:sz w:val="20"/>
        </w:rPr>
        <w:t>4</w:t>
      </w:r>
      <w:r>
        <w:rPr>
          <w:rFonts w:ascii="Century Gothic" w:hAnsi="Century Gothic"/>
          <w:sz w:val="20"/>
        </w:rPr>
        <w:t xml:space="preserve"> of Appendix 1 to the ToR.</w:t>
      </w:r>
    </w:p>
    <w:p w14:paraId="47B2DE21"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 xml:space="preserve">INFORMATION ON THE CONDITIONS FOR PARTICIPATION IN THE PROCEDURE </w:t>
      </w:r>
    </w:p>
    <w:p w14:paraId="467618F5" w14:textId="47945C7D" w:rsidR="00BC134A" w:rsidRPr="0050495A" w:rsidRDefault="00BC134A" w:rsidP="00BC134A">
      <w:pPr>
        <w:pStyle w:val="Akapitzlist"/>
        <w:numPr>
          <w:ilvl w:val="3"/>
          <w:numId w:val="16"/>
        </w:numPr>
        <w:spacing w:line="360" w:lineRule="auto"/>
        <w:ind w:left="426" w:hanging="426"/>
        <w:rPr>
          <w:rFonts w:ascii="Century Gothic" w:hAnsi="Century Gothic" w:cs="Century Gothic"/>
          <w:sz w:val="20"/>
          <w:szCs w:val="20"/>
        </w:rPr>
      </w:pPr>
      <w:r>
        <w:rPr>
          <w:rFonts w:ascii="Century Gothic" w:hAnsi="Century Gothic"/>
          <w:sz w:val="20"/>
        </w:rPr>
        <w:t xml:space="preserve">Eligible to compete for the Contract shall be </w:t>
      </w:r>
      <w:r w:rsidR="005A5AAC">
        <w:rPr>
          <w:rFonts w:ascii="Century Gothic" w:hAnsi="Century Gothic"/>
          <w:sz w:val="20"/>
        </w:rPr>
        <w:t xml:space="preserve">the </w:t>
      </w:r>
      <w:r>
        <w:rPr>
          <w:rFonts w:ascii="Century Gothic" w:hAnsi="Century Gothic"/>
          <w:sz w:val="20"/>
        </w:rPr>
        <w:t xml:space="preserve">Contractors who: </w:t>
      </w:r>
    </w:p>
    <w:p w14:paraId="3BA848EB" w14:textId="0799A8F5" w:rsidR="00BC134A" w:rsidRPr="0050495A" w:rsidRDefault="00BC134A" w:rsidP="00BC134A">
      <w:pPr>
        <w:numPr>
          <w:ilvl w:val="0"/>
          <w:numId w:val="29"/>
        </w:numPr>
        <w:spacing w:line="360" w:lineRule="auto"/>
        <w:ind w:left="851" w:hanging="425"/>
        <w:jc w:val="both"/>
        <w:rPr>
          <w:rFonts w:ascii="Century Gothic" w:hAnsi="Century Gothic" w:cs="Century Gothic"/>
          <w:sz w:val="20"/>
          <w:szCs w:val="20"/>
        </w:rPr>
      </w:pPr>
      <w:bookmarkStart w:id="4" w:name="_Hlk36804425"/>
      <w:r>
        <w:rPr>
          <w:rFonts w:ascii="Century Gothic" w:hAnsi="Century Gothic"/>
          <w:sz w:val="20"/>
        </w:rPr>
        <w:t>are not subject to exclusion from the procurement procedure</w:t>
      </w:r>
      <w:bookmarkEnd w:id="4"/>
      <w:r w:rsidR="005A5AAC">
        <w:rPr>
          <w:rFonts w:ascii="Century Gothic" w:hAnsi="Century Gothic"/>
          <w:sz w:val="20"/>
        </w:rPr>
        <w:t>,</w:t>
      </w:r>
    </w:p>
    <w:p w14:paraId="42023803" w14:textId="120E6F46" w:rsidR="00BC134A" w:rsidRDefault="005A5AAC" w:rsidP="00BC134A">
      <w:pPr>
        <w:numPr>
          <w:ilvl w:val="0"/>
          <w:numId w:val="29"/>
        </w:numPr>
        <w:spacing w:line="360" w:lineRule="auto"/>
        <w:ind w:left="851" w:hanging="425"/>
        <w:jc w:val="both"/>
        <w:rPr>
          <w:rFonts w:ascii="Century Gothic" w:hAnsi="Century Gothic" w:cs="Century Gothic"/>
          <w:sz w:val="20"/>
          <w:szCs w:val="20"/>
        </w:rPr>
      </w:pPr>
      <w:r>
        <w:rPr>
          <w:rFonts w:ascii="Century Gothic" w:hAnsi="Century Gothic"/>
          <w:sz w:val="20"/>
        </w:rPr>
        <w:t>m</w:t>
      </w:r>
      <w:r w:rsidR="00BC134A">
        <w:rPr>
          <w:rFonts w:ascii="Century Gothic" w:hAnsi="Century Gothic"/>
          <w:sz w:val="20"/>
        </w:rPr>
        <w:t xml:space="preserve">eet the conditions for participation in the Procedure, i.e.: </w:t>
      </w:r>
    </w:p>
    <w:p w14:paraId="6A2BA05B" w14:textId="77777777" w:rsidR="00BC134A" w:rsidRDefault="00BC134A" w:rsidP="00BC134A">
      <w:pPr>
        <w:numPr>
          <w:ilvl w:val="1"/>
          <w:numId w:val="29"/>
        </w:numPr>
        <w:spacing w:line="360" w:lineRule="auto"/>
        <w:ind w:left="1418" w:hanging="567"/>
        <w:jc w:val="both"/>
        <w:rPr>
          <w:rFonts w:ascii="Century Gothic" w:hAnsi="Century Gothic" w:cs="Century Gothic"/>
          <w:sz w:val="20"/>
          <w:szCs w:val="20"/>
        </w:rPr>
      </w:pPr>
      <w:r>
        <w:rPr>
          <w:rFonts w:ascii="Century Gothic" w:hAnsi="Century Gothic"/>
          <w:sz w:val="20"/>
        </w:rPr>
        <w:t xml:space="preserve">Have the right to conduct a specific business or professional activity, if such right results from separate regulations. </w:t>
      </w:r>
    </w:p>
    <w:p w14:paraId="26B3B806" w14:textId="1A120982" w:rsidR="00BC134A" w:rsidRDefault="00BC134A" w:rsidP="001227EE">
      <w:pPr>
        <w:spacing w:line="360" w:lineRule="auto"/>
        <w:ind w:left="1418"/>
        <w:jc w:val="both"/>
        <w:rPr>
          <w:rFonts w:ascii="Century Gothic" w:hAnsi="Century Gothic" w:cs="Century Gothic"/>
          <w:sz w:val="20"/>
          <w:szCs w:val="20"/>
        </w:rPr>
      </w:pPr>
      <w:r>
        <w:rPr>
          <w:rFonts w:ascii="Century Gothic" w:hAnsi="Century Gothic"/>
          <w:sz w:val="20"/>
        </w:rPr>
        <w:t xml:space="preserve">The Contracting Entity shall consider the above-mentioned conditions met if the Contractors hold an up-to-date (valid) licence to conduct business activity in the area of trading in gaseous fuels, granted by the President of the Energy Regulatory Office, within the meaning of the provisions of the Energy Law of 10 April 1997 </w:t>
      </w:r>
      <w:bookmarkStart w:id="5" w:name="_Hlk11653072"/>
      <w:r>
        <w:rPr>
          <w:rFonts w:ascii="Century Gothic" w:hAnsi="Century Gothic"/>
          <w:sz w:val="20"/>
        </w:rPr>
        <w:t xml:space="preserve">(consolidated text:  JoL of 2023, item 295) </w:t>
      </w:r>
      <w:bookmarkEnd w:id="5"/>
      <w:r>
        <w:rPr>
          <w:rFonts w:ascii="Century Gothic" w:hAnsi="Century Gothic"/>
          <w:sz w:val="20"/>
        </w:rPr>
        <w:t>or (if required) an equivalent licence granted by a regulator of another country, i.e. a Member State of the European Union, the Swiss Confederation or the European Free Trade Association (EFTA) – parties to the Agreement on the European Economic Area.</w:t>
      </w:r>
    </w:p>
    <w:p w14:paraId="57A78669" w14:textId="77777777" w:rsidR="00BC134A" w:rsidRDefault="00BC134A" w:rsidP="00BC134A">
      <w:pPr>
        <w:numPr>
          <w:ilvl w:val="1"/>
          <w:numId w:val="29"/>
        </w:numPr>
        <w:spacing w:line="360" w:lineRule="auto"/>
        <w:ind w:left="1418" w:hanging="567"/>
        <w:jc w:val="both"/>
        <w:rPr>
          <w:rFonts w:ascii="Century Gothic" w:hAnsi="Century Gothic" w:cs="Century Gothic"/>
          <w:sz w:val="20"/>
          <w:szCs w:val="20"/>
        </w:rPr>
      </w:pPr>
      <w:r>
        <w:rPr>
          <w:rFonts w:ascii="Century Gothic" w:hAnsi="Century Gothic"/>
          <w:sz w:val="20"/>
        </w:rPr>
        <w:t>Have the technical or professional capacity.</w:t>
      </w:r>
    </w:p>
    <w:p w14:paraId="50DC47E1" w14:textId="77777777" w:rsidR="00BC134A" w:rsidRPr="00FF31CB" w:rsidRDefault="00BC134A" w:rsidP="00BC134A">
      <w:pPr>
        <w:spacing w:line="360" w:lineRule="auto"/>
        <w:ind w:left="1418"/>
        <w:jc w:val="both"/>
        <w:rPr>
          <w:rFonts w:ascii="Century Gothic" w:hAnsi="Century Gothic" w:cs="Century Gothic"/>
          <w:sz w:val="20"/>
          <w:szCs w:val="20"/>
        </w:rPr>
      </w:pPr>
      <w:r>
        <w:rPr>
          <w:rFonts w:ascii="Century Gothic" w:hAnsi="Century Gothic"/>
          <w:sz w:val="20"/>
        </w:rPr>
        <w:t>The Contracting Entity shall consider the above condition to have been fulfilled if the Contractors have executed at least 1 (in words: one) contract (order), each involving the supply of gaseous fuel in the amount of at least 100,000 m</w:t>
      </w:r>
      <w:r>
        <w:rPr>
          <w:rFonts w:ascii="Century Gothic" w:hAnsi="Century Gothic"/>
          <w:sz w:val="20"/>
          <w:vertAlign w:val="superscript"/>
        </w:rPr>
        <w:t>3</w:t>
      </w:r>
      <w:r>
        <w:rPr>
          <w:rFonts w:ascii="Century Gothic" w:hAnsi="Century Gothic"/>
          <w:sz w:val="20"/>
        </w:rPr>
        <w:t xml:space="preserve"> (1,100,000 kWh), within the three years before the deadline for the submission of tenders, and if the period of conducting the business activity is shorter – within this period.</w:t>
      </w:r>
    </w:p>
    <w:p w14:paraId="2DBE657F" w14:textId="77777777" w:rsidR="00BC134A" w:rsidRDefault="00BC134A" w:rsidP="00BC134A">
      <w:pPr>
        <w:pStyle w:val="Akapitzlist"/>
        <w:numPr>
          <w:ilvl w:val="0"/>
          <w:numId w:val="32"/>
        </w:numPr>
        <w:spacing w:line="360" w:lineRule="auto"/>
        <w:ind w:left="426" w:hanging="426"/>
        <w:jc w:val="both"/>
        <w:rPr>
          <w:rFonts w:ascii="Century Gothic" w:hAnsi="Century Gothic"/>
          <w:sz w:val="20"/>
          <w:szCs w:val="20"/>
        </w:rPr>
      </w:pPr>
      <w:r>
        <w:rPr>
          <w:rFonts w:ascii="Century Gothic" w:hAnsi="Century Gothic"/>
          <w:sz w:val="20"/>
        </w:rPr>
        <w:t>The evaluation of the fulfilment of the conditions required from the Contractors shall be made according to the " yes" – "no" formula based on the documents and statements attached to the tender.</w:t>
      </w:r>
    </w:p>
    <w:p w14:paraId="7C487C0B" w14:textId="77777777" w:rsidR="00BC134A" w:rsidRPr="006E2BE6" w:rsidRDefault="00BC134A" w:rsidP="00BC134A">
      <w:pPr>
        <w:pStyle w:val="Akapitzlist"/>
        <w:numPr>
          <w:ilvl w:val="0"/>
          <w:numId w:val="32"/>
        </w:numPr>
        <w:spacing w:line="360" w:lineRule="auto"/>
        <w:ind w:left="426" w:hanging="426"/>
        <w:jc w:val="both"/>
        <w:rPr>
          <w:rFonts w:ascii="Century Gothic" w:hAnsi="Century Gothic" w:cs="Century Gothic"/>
          <w:sz w:val="20"/>
          <w:szCs w:val="20"/>
        </w:rPr>
      </w:pPr>
      <w:r>
        <w:rPr>
          <w:rFonts w:ascii="Century Gothic" w:hAnsi="Century Gothic"/>
          <w:sz w:val="20"/>
        </w:rPr>
        <w:t>In the case of Contractors jointly seeking the award of the Contract, each Contractor must individually meet the condition set in item 1.1).</w:t>
      </w:r>
    </w:p>
    <w:p w14:paraId="03CBBA12" w14:textId="77777777" w:rsidR="00BC134A" w:rsidRDefault="00BC134A" w:rsidP="00BC134A">
      <w:pPr>
        <w:pStyle w:val="Akapitzlist"/>
        <w:numPr>
          <w:ilvl w:val="0"/>
          <w:numId w:val="32"/>
        </w:numPr>
        <w:spacing w:line="360" w:lineRule="auto"/>
        <w:ind w:left="426" w:hanging="426"/>
        <w:jc w:val="both"/>
        <w:rPr>
          <w:rFonts w:ascii="Century Gothic" w:hAnsi="Century Gothic" w:cs="Century Gothic"/>
          <w:sz w:val="20"/>
          <w:szCs w:val="20"/>
        </w:rPr>
      </w:pPr>
      <w:r>
        <w:rPr>
          <w:rFonts w:ascii="Century Gothic" w:hAnsi="Century Gothic"/>
          <w:sz w:val="20"/>
        </w:rPr>
        <w:t>The condition specified in Section 1 item 2.1) above must be met by the Contractor responsible for the performance of the Subject of the Contract in the part relating to gas trading.</w:t>
      </w:r>
    </w:p>
    <w:p w14:paraId="39ADF29F" w14:textId="77777777" w:rsidR="00BC134A" w:rsidRPr="0053174C" w:rsidRDefault="00BC134A" w:rsidP="00BC134A">
      <w:pPr>
        <w:pStyle w:val="Akapitzlist"/>
        <w:numPr>
          <w:ilvl w:val="0"/>
          <w:numId w:val="32"/>
        </w:numPr>
        <w:spacing w:line="360" w:lineRule="auto"/>
        <w:ind w:left="426" w:hanging="426"/>
        <w:jc w:val="both"/>
        <w:rPr>
          <w:rFonts w:ascii="Century Gothic" w:hAnsi="Century Gothic" w:cs="Century Gothic"/>
          <w:sz w:val="20"/>
          <w:szCs w:val="20"/>
        </w:rPr>
      </w:pPr>
      <w:r>
        <w:rPr>
          <w:rFonts w:ascii="Century Gothic" w:hAnsi="Century Gothic"/>
          <w:sz w:val="20"/>
        </w:rPr>
        <w:t>In the case of Contractors competing jointly for the award of the Contract, the conditions set in Section 1.2.2) may be fulfilled jointly by a group of Contractors seeking the award of the Contract.</w:t>
      </w:r>
    </w:p>
    <w:p w14:paraId="61418C6F" w14:textId="0A6BA84D" w:rsidR="00BC134A" w:rsidRPr="00624B3B" w:rsidRDefault="00BC134A" w:rsidP="00BC134A">
      <w:pPr>
        <w:pStyle w:val="Akapitzlist"/>
        <w:numPr>
          <w:ilvl w:val="0"/>
          <w:numId w:val="32"/>
        </w:numPr>
        <w:spacing w:line="360" w:lineRule="auto"/>
        <w:ind w:left="426" w:hanging="426"/>
        <w:jc w:val="both"/>
        <w:rPr>
          <w:rFonts w:ascii="Century Gothic" w:hAnsi="Century Gothic" w:cs="Century Gothic"/>
          <w:sz w:val="20"/>
          <w:szCs w:val="20"/>
        </w:rPr>
      </w:pPr>
      <w:r>
        <w:rPr>
          <w:rFonts w:ascii="Century Gothic" w:hAnsi="Century Gothic"/>
          <w:sz w:val="20"/>
        </w:rPr>
        <w:t xml:space="preserve">The Contractor may rely on the technical or professional capabilities of other entities, regardless of the legal nature of their relations. When relying upon the resources of other </w:t>
      </w:r>
      <w:r>
        <w:rPr>
          <w:rFonts w:ascii="Century Gothic" w:hAnsi="Century Gothic"/>
          <w:sz w:val="20"/>
        </w:rPr>
        <w:lastRenderedPageBreak/>
        <w:t xml:space="preserve">entities with regard to conditions relating to educational attainment, professional qualifications or experience, Contractors may rely upon the capabilities of other entities if these entities will provide the </w:t>
      </w:r>
      <w:r w:rsidR="005A5AAC">
        <w:rPr>
          <w:rFonts w:ascii="Century Gothic" w:hAnsi="Century Gothic"/>
          <w:sz w:val="20"/>
        </w:rPr>
        <w:t>s</w:t>
      </w:r>
      <w:r>
        <w:rPr>
          <w:rFonts w:ascii="Century Gothic" w:hAnsi="Century Gothic"/>
          <w:sz w:val="20"/>
        </w:rPr>
        <w:t xml:space="preserve">ervices for which these capabilities are required from a subcontractor. </w:t>
      </w:r>
      <w:r>
        <w:t xml:space="preserve"> </w:t>
      </w:r>
      <w:r>
        <w:rPr>
          <w:rFonts w:ascii="Century Gothic" w:hAnsi="Century Gothic"/>
          <w:sz w:val="20"/>
        </w:rPr>
        <w:t xml:space="preserve">The Contracting Entity does not allow reliance on the resources of other entities with respect to whom there are grounds for exclusion referred to in Chapter VIII, Section 1.1)-14) and Section 2.1)-6) of the ToR. </w:t>
      </w:r>
    </w:p>
    <w:p w14:paraId="3E29280E" w14:textId="5E6EDF0F" w:rsidR="007C3ACB" w:rsidRPr="003560A7" w:rsidRDefault="008A7A46" w:rsidP="00CB19F8">
      <w:pPr>
        <w:pStyle w:val="Akapitzlist"/>
        <w:spacing w:line="360" w:lineRule="auto"/>
        <w:ind w:left="357"/>
        <w:jc w:val="both"/>
        <w:rPr>
          <w:rFonts w:ascii="Century Gothic" w:hAnsi="Century Gothic" w:cs="Century Gothic"/>
          <w:sz w:val="20"/>
          <w:szCs w:val="20"/>
          <w:highlight w:val="yellow"/>
        </w:rPr>
      </w:pPr>
      <w:r>
        <w:rPr>
          <w:rFonts w:ascii="Century Gothic" w:hAnsi="Century Gothic"/>
          <w:sz w:val="20"/>
        </w:rPr>
        <w:t>The reliance on the resources of other entities to whom Chapter VIII, Section 2 of the ToR applies is prohibited if their work accounts for more than 10% of the Contract value.</w:t>
      </w:r>
    </w:p>
    <w:p w14:paraId="4BF2656C" w14:textId="77777777" w:rsidR="00CC0AE9" w:rsidRPr="004976A7" w:rsidRDefault="00CC0AE9" w:rsidP="00CC0AE9">
      <w:pPr>
        <w:tabs>
          <w:tab w:val="num" w:pos="1152"/>
        </w:tabs>
        <w:spacing w:line="360" w:lineRule="auto"/>
        <w:jc w:val="both"/>
        <w:rPr>
          <w:rFonts w:ascii="Century Gothic" w:hAnsi="Century Gothic" w:cs="Century Gothic"/>
          <w:sz w:val="20"/>
          <w:szCs w:val="20"/>
          <w:highlight w:val="yellow"/>
        </w:rPr>
      </w:pPr>
    </w:p>
    <w:p w14:paraId="2D29ACE3" w14:textId="2D066311"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THE STATEMENTS AND DOCUMENTS TO BE PROVIDED BY CONTRACTORS</w:t>
      </w:r>
    </w:p>
    <w:p w14:paraId="258063CC" w14:textId="77777777" w:rsidR="00E10151" w:rsidRPr="00710BB5" w:rsidRDefault="00A36B62" w:rsidP="00BE508D">
      <w:pPr>
        <w:numPr>
          <w:ilvl w:val="0"/>
          <w:numId w:val="9"/>
        </w:numPr>
        <w:spacing w:line="360" w:lineRule="auto"/>
        <w:jc w:val="both"/>
        <w:rPr>
          <w:rFonts w:ascii="Century Gothic" w:hAnsi="Century Gothic" w:cs="Century Gothic"/>
          <w:sz w:val="20"/>
          <w:szCs w:val="20"/>
          <w:u w:val="single"/>
        </w:rPr>
      </w:pPr>
      <w:r>
        <w:rPr>
          <w:rFonts w:ascii="Century Gothic" w:hAnsi="Century Gothic"/>
          <w:sz w:val="20"/>
          <w:u w:val="single"/>
        </w:rPr>
        <w:t>The Contractor’s tender should include the completed</w:t>
      </w:r>
      <w:r>
        <w:rPr>
          <w:rFonts w:ascii="Century Gothic" w:hAnsi="Century Gothic"/>
          <w:sz w:val="20"/>
        </w:rPr>
        <w:t xml:space="preserve">: </w:t>
      </w:r>
    </w:p>
    <w:p w14:paraId="0C95A3BD" w14:textId="207B70BC" w:rsidR="00E10151" w:rsidRPr="00710BB5" w:rsidRDefault="00C35E5F" w:rsidP="00BE508D">
      <w:pPr>
        <w:pStyle w:val="Akapitzlist"/>
        <w:numPr>
          <w:ilvl w:val="0"/>
          <w:numId w:val="33"/>
        </w:numPr>
        <w:spacing w:line="360" w:lineRule="auto"/>
        <w:jc w:val="both"/>
        <w:rPr>
          <w:rFonts w:ascii="Century Gothic" w:hAnsi="Century Gothic" w:cs="Century Gothic"/>
          <w:sz w:val="20"/>
          <w:szCs w:val="20"/>
        </w:rPr>
      </w:pPr>
      <w:r>
        <w:rPr>
          <w:rFonts w:ascii="Century Gothic" w:hAnsi="Century Gothic"/>
          <w:sz w:val="20"/>
        </w:rPr>
        <w:t xml:space="preserve">"Tender" form together with a statement on not being excluded from a non-public </w:t>
      </w:r>
      <w:r w:rsidR="000A4163">
        <w:rPr>
          <w:rFonts w:ascii="Century Gothic" w:hAnsi="Century Gothic"/>
          <w:sz w:val="20"/>
        </w:rPr>
        <w:t>c</w:t>
      </w:r>
      <w:r>
        <w:rPr>
          <w:rFonts w:ascii="Century Gothic" w:hAnsi="Century Gothic"/>
          <w:sz w:val="20"/>
        </w:rPr>
        <w:t xml:space="preserve">ontract </w:t>
      </w:r>
      <w:r w:rsidR="000A4163">
        <w:rPr>
          <w:rFonts w:ascii="Century Gothic" w:hAnsi="Century Gothic"/>
          <w:sz w:val="20"/>
        </w:rPr>
        <w:t>a</w:t>
      </w:r>
      <w:r>
        <w:rPr>
          <w:rFonts w:ascii="Century Gothic" w:hAnsi="Century Gothic"/>
          <w:sz w:val="20"/>
        </w:rPr>
        <w:t>ward Procedure (compliant with the content of Appendix 3 to the ToR).</w:t>
      </w:r>
    </w:p>
    <w:p w14:paraId="7CBBE008" w14:textId="10D17CD6" w:rsidR="00CC0AE9" w:rsidRPr="00710BB5" w:rsidRDefault="000A1BBB" w:rsidP="00BE508D">
      <w:pPr>
        <w:pStyle w:val="Akapitzlist"/>
        <w:numPr>
          <w:ilvl w:val="0"/>
          <w:numId w:val="9"/>
        </w:numPr>
        <w:spacing w:line="360" w:lineRule="auto"/>
        <w:rPr>
          <w:rFonts w:ascii="Century Gothic" w:hAnsi="Century Gothic"/>
          <w:sz w:val="20"/>
          <w:szCs w:val="20"/>
          <w:u w:val="single"/>
        </w:rPr>
      </w:pPr>
      <w:r>
        <w:rPr>
          <w:rFonts w:ascii="Century Gothic" w:hAnsi="Century Gothic"/>
          <w:sz w:val="20"/>
          <w:u w:val="single"/>
        </w:rPr>
        <w:t xml:space="preserve">The Contractor shall be obliged to submit the following together </w:t>
      </w:r>
      <w:r>
        <w:rPr>
          <w:rFonts w:ascii="Century Gothic" w:hAnsi="Century Gothic"/>
          <w:b/>
          <w:sz w:val="20"/>
          <w:u w:val="single"/>
        </w:rPr>
        <w:t>with the tender</w:t>
      </w:r>
      <w:r>
        <w:rPr>
          <w:rFonts w:ascii="Century Gothic" w:hAnsi="Century Gothic"/>
          <w:sz w:val="20"/>
          <w:u w:val="single"/>
        </w:rPr>
        <w:t>:</w:t>
      </w:r>
    </w:p>
    <w:p w14:paraId="4E8E9249" w14:textId="75748D31" w:rsidR="00113185" w:rsidRPr="00710BB5" w:rsidRDefault="00361D60" w:rsidP="00BE508D">
      <w:pPr>
        <w:pStyle w:val="Akapitzlist"/>
        <w:numPr>
          <w:ilvl w:val="0"/>
          <w:numId w:val="50"/>
        </w:numPr>
        <w:spacing w:line="360" w:lineRule="auto"/>
        <w:jc w:val="both"/>
        <w:rPr>
          <w:rFonts w:ascii="Century Gothic" w:hAnsi="Century Gothic" w:cs="Century Gothic"/>
          <w:sz w:val="20"/>
          <w:szCs w:val="20"/>
        </w:rPr>
      </w:pPr>
      <w:r>
        <w:rPr>
          <w:rFonts w:ascii="Century Gothic" w:hAnsi="Century Gothic"/>
          <w:sz w:val="20"/>
        </w:rPr>
        <w:t xml:space="preserve">A document confirming that the person or persons signing the tender on behalf of the Contractor </w:t>
      </w:r>
      <w:r w:rsidR="000A4163">
        <w:rPr>
          <w:rFonts w:ascii="Century Gothic" w:hAnsi="Century Gothic"/>
          <w:sz w:val="20"/>
        </w:rPr>
        <w:t>are</w:t>
      </w:r>
      <w:r>
        <w:rPr>
          <w:rFonts w:ascii="Century Gothic" w:hAnsi="Century Gothic"/>
          <w:sz w:val="20"/>
        </w:rPr>
        <w:t xml:space="preserve"> authorised to do so (e.g. an extract from the National Court Register (KRS), a power of attorney).</w:t>
      </w:r>
    </w:p>
    <w:p w14:paraId="3C2CE187" w14:textId="74C18686" w:rsidR="00BC134A" w:rsidRPr="00710BB5" w:rsidRDefault="00BC134A" w:rsidP="00BC134A">
      <w:pPr>
        <w:pStyle w:val="Akapitzlist"/>
        <w:numPr>
          <w:ilvl w:val="0"/>
          <w:numId w:val="50"/>
        </w:numPr>
        <w:spacing w:line="360" w:lineRule="auto"/>
        <w:jc w:val="both"/>
        <w:rPr>
          <w:rFonts w:ascii="Century Gothic" w:hAnsi="Century Gothic" w:cs="Century Gothic"/>
          <w:sz w:val="20"/>
          <w:szCs w:val="20"/>
        </w:rPr>
      </w:pPr>
      <w:r>
        <w:rPr>
          <w:rFonts w:ascii="Century Gothic" w:hAnsi="Century Gothic"/>
          <w:sz w:val="20"/>
        </w:rPr>
        <w:t>an up-to-date (valid) licence to conduct business activity in the area of trading in gaseous fuels, granted by the President of the Energy Regulatory Office, within the meaning of the provisions of the Energy Law of 10 April 1997 (consolidated text: JoL of 202</w:t>
      </w:r>
      <w:r w:rsidR="00BB3621">
        <w:rPr>
          <w:rFonts w:ascii="Century Gothic" w:hAnsi="Century Gothic"/>
          <w:sz w:val="20"/>
        </w:rPr>
        <w:t>2</w:t>
      </w:r>
      <w:r>
        <w:rPr>
          <w:rFonts w:ascii="Century Gothic" w:hAnsi="Century Gothic"/>
          <w:sz w:val="20"/>
        </w:rPr>
        <w:t xml:space="preserve">, item </w:t>
      </w:r>
      <w:r w:rsidR="00BB3621">
        <w:rPr>
          <w:rFonts w:ascii="Century Gothic" w:hAnsi="Century Gothic"/>
          <w:sz w:val="20"/>
        </w:rPr>
        <w:t>1385</w:t>
      </w:r>
      <w:r>
        <w:rPr>
          <w:rFonts w:ascii="Century Gothic" w:hAnsi="Century Gothic"/>
          <w:sz w:val="20"/>
        </w:rPr>
        <w:t xml:space="preserve">, as amended) or an equivalent licence granted by a regulator of another country, i.e. a Member State of the European Union, </w:t>
      </w:r>
      <w:r w:rsidR="000A4163">
        <w:rPr>
          <w:rFonts w:ascii="Century Gothic" w:hAnsi="Century Gothic"/>
          <w:sz w:val="20"/>
        </w:rPr>
        <w:t xml:space="preserve">of </w:t>
      </w:r>
      <w:r>
        <w:rPr>
          <w:rFonts w:ascii="Century Gothic" w:hAnsi="Century Gothic"/>
          <w:sz w:val="20"/>
        </w:rPr>
        <w:t xml:space="preserve">the Swiss Confederation or </w:t>
      </w:r>
      <w:r w:rsidR="000A4163">
        <w:rPr>
          <w:rFonts w:ascii="Century Gothic" w:hAnsi="Century Gothic"/>
          <w:sz w:val="20"/>
        </w:rPr>
        <w:t xml:space="preserve">of </w:t>
      </w:r>
      <w:r>
        <w:rPr>
          <w:rFonts w:ascii="Century Gothic" w:hAnsi="Century Gothic"/>
          <w:sz w:val="20"/>
        </w:rPr>
        <w:t>the European Free Trade Association (EFTA) – parties to the Agreement on the European Economic Area.</w:t>
      </w:r>
    </w:p>
    <w:p w14:paraId="6CE968CC" w14:textId="4D37EE18" w:rsidR="00437125" w:rsidRPr="00710BB5" w:rsidRDefault="00E10151" w:rsidP="00BC134A">
      <w:pPr>
        <w:pStyle w:val="Akapitzlist"/>
        <w:numPr>
          <w:ilvl w:val="0"/>
          <w:numId w:val="50"/>
        </w:numPr>
        <w:spacing w:line="360" w:lineRule="auto"/>
        <w:jc w:val="both"/>
        <w:rPr>
          <w:rFonts w:ascii="Century Gothic" w:hAnsi="Century Gothic" w:cs="Century Gothic"/>
          <w:sz w:val="20"/>
          <w:szCs w:val="20"/>
        </w:rPr>
      </w:pPr>
      <w:r>
        <w:rPr>
          <w:rFonts w:ascii="Century Gothic" w:hAnsi="Century Gothic"/>
          <w:sz w:val="20"/>
        </w:rPr>
        <w:t xml:space="preserve">the list of performed contracts that meet the condition specified in Chapter VI Section 1 item 2) subitem 2) of the ToR (in accordance with </w:t>
      </w:r>
      <w:r>
        <w:rPr>
          <w:rFonts w:ascii="Century Gothic" w:hAnsi="Century Gothic"/>
          <w:b/>
          <w:sz w:val="20"/>
        </w:rPr>
        <w:t>Appendix 4 to the ToR</w:t>
      </w:r>
      <w:r>
        <w:rPr>
          <w:rFonts w:ascii="Century Gothic" w:hAnsi="Century Gothic"/>
          <w:sz w:val="20"/>
        </w:rPr>
        <w:t xml:space="preserve">). </w:t>
      </w:r>
    </w:p>
    <w:p w14:paraId="5AF4AB3A" w14:textId="77777777" w:rsidR="00437125" w:rsidRPr="00710BB5" w:rsidRDefault="00E10151" w:rsidP="00437125">
      <w:pPr>
        <w:pStyle w:val="Akapitzlist"/>
        <w:spacing w:line="360" w:lineRule="auto"/>
        <w:ind w:left="717"/>
        <w:jc w:val="both"/>
        <w:rPr>
          <w:rFonts w:ascii="Century Gothic" w:hAnsi="Century Gothic"/>
          <w:sz w:val="20"/>
        </w:rPr>
      </w:pPr>
      <w:r>
        <w:rPr>
          <w:rFonts w:ascii="Century Gothic" w:hAnsi="Century Gothic"/>
          <w:sz w:val="20"/>
        </w:rPr>
        <w:t xml:space="preserve">For each contract included on the list, the following should be specified: </w:t>
      </w:r>
    </w:p>
    <w:p w14:paraId="482B268C" w14:textId="77777777" w:rsidR="00437125" w:rsidRPr="00710BB5" w:rsidRDefault="00E10151" w:rsidP="00BE508D">
      <w:pPr>
        <w:pStyle w:val="Akapitzlist"/>
        <w:numPr>
          <w:ilvl w:val="0"/>
          <w:numId w:val="58"/>
        </w:numPr>
        <w:spacing w:line="360" w:lineRule="auto"/>
        <w:ind w:left="1134" w:hanging="425"/>
        <w:jc w:val="both"/>
        <w:rPr>
          <w:rFonts w:ascii="Century Gothic" w:hAnsi="Century Gothic"/>
          <w:sz w:val="20"/>
        </w:rPr>
      </w:pPr>
      <w:r>
        <w:rPr>
          <w:rFonts w:ascii="Century Gothic" w:hAnsi="Century Gothic"/>
          <w:sz w:val="20"/>
        </w:rPr>
        <w:t xml:space="preserve">Subject of the Contract, </w:t>
      </w:r>
    </w:p>
    <w:p w14:paraId="6622FF1E" w14:textId="15712285" w:rsidR="00214F53" w:rsidRPr="00710BB5" w:rsidRDefault="00710BB5" w:rsidP="00BE508D">
      <w:pPr>
        <w:pStyle w:val="Akapitzlist"/>
        <w:numPr>
          <w:ilvl w:val="0"/>
          <w:numId w:val="58"/>
        </w:numPr>
        <w:spacing w:line="360" w:lineRule="auto"/>
        <w:ind w:left="1134" w:hanging="425"/>
        <w:jc w:val="both"/>
        <w:rPr>
          <w:rFonts w:ascii="Century Gothic" w:hAnsi="Century Gothic"/>
          <w:sz w:val="20"/>
        </w:rPr>
      </w:pPr>
      <w:r>
        <w:rPr>
          <w:rFonts w:ascii="Century Gothic" w:hAnsi="Century Gothic"/>
          <w:sz w:val="20"/>
        </w:rPr>
        <w:t>quantity of gas delivered (m</w:t>
      </w:r>
      <w:r w:rsidRPr="006E1E1C">
        <w:rPr>
          <w:rFonts w:ascii="Century Gothic" w:hAnsi="Century Gothic"/>
          <w:sz w:val="20"/>
          <w:vertAlign w:val="superscript"/>
        </w:rPr>
        <w:t>3</w:t>
      </w:r>
      <w:r>
        <w:rPr>
          <w:rFonts w:ascii="Century Gothic" w:hAnsi="Century Gothic"/>
          <w:sz w:val="20"/>
        </w:rPr>
        <w:t xml:space="preserve"> </w:t>
      </w:r>
      <w:r w:rsidR="006E1E1C">
        <w:rPr>
          <w:rFonts w:ascii="Century Gothic" w:hAnsi="Century Gothic"/>
          <w:sz w:val="20"/>
        </w:rPr>
        <w:t>or</w:t>
      </w:r>
      <w:r>
        <w:rPr>
          <w:rFonts w:ascii="Century Gothic" w:hAnsi="Century Gothic"/>
          <w:sz w:val="20"/>
        </w:rPr>
        <w:t xml:space="preserve"> kWh),</w:t>
      </w:r>
    </w:p>
    <w:p w14:paraId="1DE1D761" w14:textId="27D65FB9" w:rsidR="00437125" w:rsidRPr="00710BB5" w:rsidRDefault="00437125" w:rsidP="00BE508D">
      <w:pPr>
        <w:pStyle w:val="Akapitzlist"/>
        <w:numPr>
          <w:ilvl w:val="0"/>
          <w:numId w:val="58"/>
        </w:numPr>
        <w:spacing w:line="360" w:lineRule="auto"/>
        <w:ind w:left="1134" w:hanging="425"/>
        <w:jc w:val="both"/>
        <w:rPr>
          <w:rFonts w:ascii="Century Gothic" w:hAnsi="Century Gothic"/>
          <w:sz w:val="20"/>
        </w:rPr>
      </w:pPr>
      <w:r>
        <w:rPr>
          <w:rFonts w:ascii="Century Gothic" w:hAnsi="Century Gothic"/>
          <w:sz w:val="20"/>
        </w:rPr>
        <w:t>performance dates, i.e. start (dd/mm/yyyy) and end (dd/mm/yyyy),</w:t>
      </w:r>
    </w:p>
    <w:p w14:paraId="1DBC10D8" w14:textId="69055CEC" w:rsidR="00437125" w:rsidRPr="00710BB5" w:rsidRDefault="00437125" w:rsidP="00BE508D">
      <w:pPr>
        <w:pStyle w:val="Akapitzlist"/>
        <w:numPr>
          <w:ilvl w:val="0"/>
          <w:numId w:val="58"/>
        </w:numPr>
        <w:spacing w:line="360" w:lineRule="auto"/>
        <w:ind w:left="1134" w:hanging="425"/>
        <w:jc w:val="both"/>
        <w:rPr>
          <w:rFonts w:ascii="Century Gothic" w:hAnsi="Century Gothic" w:cs="Century Gothic"/>
          <w:sz w:val="20"/>
          <w:szCs w:val="20"/>
        </w:rPr>
      </w:pPr>
      <w:r>
        <w:rPr>
          <w:rFonts w:ascii="Century Gothic" w:hAnsi="Century Gothic"/>
          <w:sz w:val="20"/>
        </w:rPr>
        <w:t>entity for which the contract was performed.</w:t>
      </w:r>
    </w:p>
    <w:p w14:paraId="39307546" w14:textId="5D13C3A9" w:rsidR="00E10151" w:rsidRPr="00710BB5" w:rsidRDefault="00437125" w:rsidP="00437125">
      <w:pPr>
        <w:pStyle w:val="Akapitzlist"/>
        <w:spacing w:line="360" w:lineRule="auto"/>
        <w:ind w:left="717"/>
        <w:jc w:val="both"/>
        <w:rPr>
          <w:rFonts w:ascii="Century Gothic" w:hAnsi="Century Gothic" w:cs="Century Gothic"/>
          <w:sz w:val="20"/>
          <w:szCs w:val="20"/>
        </w:rPr>
      </w:pPr>
      <w:r>
        <w:rPr>
          <w:rFonts w:ascii="Century Gothic" w:hAnsi="Century Gothic"/>
          <w:sz w:val="20"/>
        </w:rPr>
        <w:t>Each contract must be accompanied by documents (e.g. letters of reference) confirming that the contracts have been duly performed.  The aforementioned documents must be issued or confirmed by the entity for which the contract was performed.</w:t>
      </w:r>
    </w:p>
    <w:p w14:paraId="4379D85E" w14:textId="0ACA8A8A" w:rsidR="00BD73FA" w:rsidRDefault="00BD73FA"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color w:val="000000"/>
          <w:sz w:val="20"/>
        </w:rPr>
        <w:lastRenderedPageBreak/>
        <w:t xml:space="preserve">When the tender is submitted by </w:t>
      </w:r>
      <w:r>
        <w:rPr>
          <w:rFonts w:ascii="Century Gothic" w:hAnsi="Century Gothic"/>
          <w:sz w:val="20"/>
        </w:rPr>
        <w:t>Contractors</w:t>
      </w:r>
      <w:r>
        <w:rPr>
          <w:rFonts w:ascii="Century Gothic" w:hAnsi="Century Gothic"/>
          <w:color w:val="000000"/>
          <w:sz w:val="20"/>
        </w:rPr>
        <w:t xml:space="preserve"> jointly seeking the Contract award, the requirement to submit documents specified in Section 2.1) above applies to each of the above-mentioned Contractors. </w:t>
      </w:r>
      <w:r>
        <w:rPr>
          <w:rFonts w:ascii="Century Gothic" w:hAnsi="Century Gothic"/>
          <w:sz w:val="20"/>
        </w:rPr>
        <w:t xml:space="preserve">The remainder of the documents shall be submitted jointly </w:t>
      </w:r>
      <w:r>
        <w:rPr>
          <w:rFonts w:ascii="Century Gothic" w:hAnsi="Century Gothic"/>
          <w:color w:val="000000"/>
          <w:sz w:val="20"/>
        </w:rPr>
        <w:t>by the group</w:t>
      </w:r>
      <w:r>
        <w:rPr>
          <w:rFonts w:ascii="Century Gothic" w:hAnsi="Century Gothic"/>
          <w:sz w:val="20"/>
        </w:rPr>
        <w:t xml:space="preserve"> of Contractors jointly seeking the Contract award.</w:t>
      </w:r>
    </w:p>
    <w:p w14:paraId="3B157249" w14:textId="77777777" w:rsidR="00311F22" w:rsidRPr="00E2799B" w:rsidRDefault="00311F22" w:rsidP="00311F22">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The Contracting Entity permits submission of documents in the following electronic forms:</w:t>
      </w:r>
    </w:p>
    <w:p w14:paraId="40CE2B84" w14:textId="77777777" w:rsidR="00311F22"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a hard (paper) copy, bearing a wet signature and then processed into electronic form (document scan),</w:t>
      </w:r>
    </w:p>
    <w:p w14:paraId="40684E5B" w14:textId="77777777" w:rsidR="00311F22" w:rsidRPr="009864F0"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hard (paper) copy, then processed into electronic form (document scan) and signed with a qualified digital signature or a trusted signature or a personal signature.</w:t>
      </w:r>
    </w:p>
    <w:p w14:paraId="7A25E31D" w14:textId="549C90D6" w:rsidR="00311F22" w:rsidRPr="00311F22"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electronically and signed with a qualified digital signature or a trusted signature or a personal signature.</w:t>
      </w:r>
    </w:p>
    <w:p w14:paraId="68816B7F" w14:textId="19EED31E"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Documents drawn up in a foreign language must be submitted with translations into Polish. The Contracting Entity shall have the right to waive the requirement referred to in the first sentence.</w:t>
      </w:r>
    </w:p>
    <w:p w14:paraId="4805D5F5" w14:textId="250576DA" w:rsidR="007C3ACB" w:rsidRPr="00DB5BB6" w:rsidRDefault="007C3ACB"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If the Contractor, in order to demonstrate compliance with the conditions for participation in the Procedure referred to in Chapter VI Section 1.2) of the ToR, relies upon the resources of other entities on the principles set out in Chapter VI Section 6 of the ToR, it shall be obliged to prove to the Contracting Entity that it will have at its disposal the resources of those other entities, to an extent that is sufficient to duly perform the contract, and that the relationship between the Contractor and such entities guarantees actual access to their resources. To that end, the Contracting Entity requires the </w:t>
      </w:r>
      <w:r>
        <w:rPr>
          <w:rFonts w:ascii="Century Gothic" w:hAnsi="Century Gothic"/>
          <w:b/>
          <w:sz w:val="20"/>
        </w:rPr>
        <w:t xml:space="preserve">submission of the following, along with the </w:t>
      </w:r>
      <w:r w:rsidR="00E91EAD">
        <w:rPr>
          <w:rFonts w:ascii="Century Gothic" w:hAnsi="Century Gothic"/>
          <w:b/>
          <w:sz w:val="20"/>
        </w:rPr>
        <w:t>tender</w:t>
      </w:r>
      <w:r>
        <w:rPr>
          <w:rFonts w:ascii="Century Gothic" w:hAnsi="Century Gothic"/>
          <w:sz w:val="20"/>
        </w:rPr>
        <w:t>:</w:t>
      </w:r>
    </w:p>
    <w:p w14:paraId="22EDE448" w14:textId="2EBA0A81" w:rsidR="007C3ACB" w:rsidRPr="00DB5BB6" w:rsidRDefault="00456319" w:rsidP="00BE508D">
      <w:pPr>
        <w:pStyle w:val="Akapitzlist"/>
        <w:numPr>
          <w:ilvl w:val="0"/>
          <w:numId w:val="30"/>
        </w:numPr>
        <w:spacing w:line="360" w:lineRule="auto"/>
        <w:ind w:left="714"/>
        <w:jc w:val="both"/>
        <w:rPr>
          <w:rFonts w:ascii="Century Gothic" w:hAnsi="Century Gothic" w:cs="Century Gothic"/>
          <w:sz w:val="20"/>
          <w:szCs w:val="20"/>
        </w:rPr>
      </w:pPr>
      <w:r>
        <w:rPr>
          <w:rFonts w:ascii="Century Gothic" w:hAnsi="Century Gothic"/>
          <w:sz w:val="20"/>
        </w:rPr>
        <w:t>a commitment of these entities to provide the Contractor with the necessary resources for their use during the performance of the contract (in accordance with the content of Appendix 5 to the ToR).  The Contractor shall be obliged to prove to the Contracting Entity that the above-mentioned commitment has been signed by person(s) authorised to represent this entity, or</w:t>
      </w:r>
    </w:p>
    <w:p w14:paraId="1B5B748D" w14:textId="77777777" w:rsidR="00456319" w:rsidRPr="00DB5BB6" w:rsidRDefault="00456319" w:rsidP="00BE508D">
      <w:pPr>
        <w:pStyle w:val="Akapitzlist"/>
        <w:numPr>
          <w:ilvl w:val="0"/>
          <w:numId w:val="30"/>
        </w:numPr>
        <w:spacing w:line="360" w:lineRule="auto"/>
        <w:ind w:left="714"/>
        <w:jc w:val="both"/>
        <w:rPr>
          <w:rFonts w:ascii="Century Gothic" w:hAnsi="Century Gothic" w:cs="Century Gothic"/>
          <w:sz w:val="20"/>
          <w:szCs w:val="20"/>
        </w:rPr>
      </w:pPr>
      <w:r>
        <w:rPr>
          <w:rFonts w:ascii="Century Gothic" w:hAnsi="Century Gothic"/>
          <w:sz w:val="20"/>
        </w:rPr>
        <w:t xml:space="preserve">another document showing explicitly that the Contractor shall have at its disposal the resources of other entities to an extent that is sufficient to duly perform the contract, and that the relationship between the Contractor and such entities guarantees actual access to their resources. </w:t>
      </w:r>
    </w:p>
    <w:p w14:paraId="1E930943" w14:textId="5EE9B345"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The Contracting Entity may call upon the Contractors who have failed to submit the required documents, statements or powers to represent within the prescribed time limit, or who have submitted documents, statements or powers to represent which contain mistakes, to supplement them within the prescribed time limit. Statements and documents </w:t>
      </w:r>
      <w:r>
        <w:rPr>
          <w:rFonts w:ascii="Century Gothic" w:hAnsi="Century Gothic"/>
          <w:sz w:val="20"/>
        </w:rPr>
        <w:lastRenderedPageBreak/>
        <w:t>submitted when called upon by the Contracting Entity should confirm compliance with the conditions or requirements as on the date of submission of a given statement or document.</w:t>
      </w:r>
    </w:p>
    <w:p w14:paraId="09D7001F" w14:textId="4E3D94B3"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During the examination and evaluation of tenders, the Contracting Entity may demand </w:t>
      </w:r>
      <w:r w:rsidR="006E1E1C">
        <w:rPr>
          <w:rFonts w:ascii="Century Gothic" w:hAnsi="Century Gothic"/>
          <w:sz w:val="20"/>
        </w:rPr>
        <w:t>clarifications</w:t>
      </w:r>
      <w:r>
        <w:rPr>
          <w:rFonts w:ascii="Century Gothic" w:hAnsi="Century Gothic"/>
          <w:sz w:val="20"/>
        </w:rPr>
        <w:t xml:space="preserve"> from Contractors regarding the content of their tenders, including the content of documents and statements enclosed with the tender, as well as clarifications, including submission of evidence regarding those elements of the tender which affect the price offered.</w:t>
      </w:r>
    </w:p>
    <w:p w14:paraId="182C6242" w14:textId="4F101462"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If more than one Contractor submits a tender in the Procedure, the Contracting Entity reserves the right to examine and evaluate the tender of only that Contractor whose tender will be the most advantageous after the initial evaluation. In such a situation, tenders submitted by the remaining Contractors will be left by the Contracting Entity without examination and evaluation.</w:t>
      </w:r>
    </w:p>
    <w:p w14:paraId="79C22BE8" w14:textId="64D34F86"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The Contracting Entity shall correct the following in the tender:</w:t>
      </w:r>
    </w:p>
    <w:p w14:paraId="291B4A62" w14:textId="77777777" w:rsidR="00CC0AE9" w:rsidRPr="002A310F"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Pr>
          <w:rFonts w:ascii="Century Gothic" w:hAnsi="Century Gothic"/>
          <w:sz w:val="20"/>
        </w:rPr>
        <w:t>obvious typing errors,</w:t>
      </w:r>
    </w:p>
    <w:p w14:paraId="1701690C" w14:textId="77777777" w:rsidR="00CC0AE9" w:rsidRPr="00DB5BB6"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Pr>
          <w:rFonts w:ascii="Century Gothic" w:hAnsi="Century Gothic"/>
          <w:sz w:val="20"/>
        </w:rPr>
        <w:t>obvious calculation errors,</w:t>
      </w:r>
    </w:p>
    <w:p w14:paraId="2C27A3DD" w14:textId="1787CD1D" w:rsidR="00CC0AE9" w:rsidRPr="00DB5BB6"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Pr>
          <w:rFonts w:ascii="Century Gothic" w:hAnsi="Century Gothic"/>
          <w:sz w:val="20"/>
        </w:rPr>
        <w:t>other errors consisting in the inconsistency of the tender with the ToR which do not result in significant changes in the contents of the tender.</w:t>
      </w:r>
    </w:p>
    <w:p w14:paraId="07C61919" w14:textId="77777777" w:rsidR="00CC0AE9" w:rsidRPr="00DB5BB6" w:rsidRDefault="00CC0AE9" w:rsidP="00CC0AE9">
      <w:pPr>
        <w:pStyle w:val="Akapitzlist"/>
        <w:spacing w:line="360" w:lineRule="auto"/>
        <w:ind w:left="851"/>
        <w:jc w:val="both"/>
        <w:rPr>
          <w:rFonts w:ascii="Century Gothic" w:hAnsi="Century Gothic" w:cs="Century Gothic"/>
          <w:sz w:val="20"/>
          <w:szCs w:val="20"/>
        </w:rPr>
      </w:pPr>
      <w:r>
        <w:rPr>
          <w:rFonts w:ascii="Century Gothic" w:hAnsi="Century Gothic"/>
          <w:sz w:val="20"/>
        </w:rPr>
        <w:t>- immediately informing thereof the Contractor whose tender has been corrected.</w:t>
      </w:r>
    </w:p>
    <w:p w14:paraId="527CA7D1" w14:textId="7474211E" w:rsidR="00E2799B" w:rsidRDefault="00525943" w:rsidP="00E2799B">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The Contracting Entity reserves the right to require the Contractor to submit hard copies or certified copies of statements and documents if the statements and documents in electronic form are illegible or raise doubts as to their authenticity. </w:t>
      </w:r>
    </w:p>
    <w:p w14:paraId="26278060" w14:textId="35F025B2" w:rsidR="00C4360A" w:rsidRDefault="00C4360A" w:rsidP="00E2799B">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sz w:val="20"/>
        </w:rPr>
        <w:t xml:space="preserve">The Contracting Entity reserves the right to carry out a technical, financial or organisational audit of the Contractor whose tender was initially evaluated as the most advantageous pursuant to Section 9 above. The purpose of the audit is to examine and confirm whether the Contractor, the entities referred to in Chapter VI Section </w:t>
      </w:r>
      <w:r w:rsidR="007A1287">
        <w:rPr>
          <w:rFonts w:ascii="Century Gothic" w:hAnsi="Century Gothic"/>
          <w:sz w:val="20"/>
        </w:rPr>
        <w:t>6</w:t>
      </w:r>
      <w:r>
        <w:rPr>
          <w:rFonts w:ascii="Century Gothic" w:hAnsi="Century Gothic"/>
          <w:sz w:val="20"/>
        </w:rPr>
        <w:t xml:space="preserve"> of the ToR or subcontractors have the necessary resources to properly perform the Subject of the Contract. A negative result of the aforementioned audit or refusal to submit to the audit constitutes grounds for excluding the Contractor from the Procedure.</w:t>
      </w:r>
    </w:p>
    <w:p w14:paraId="1A4870EE" w14:textId="3CCB58A0" w:rsidR="00E649B8" w:rsidRPr="00F36AD3" w:rsidRDefault="00E649B8" w:rsidP="00E649B8">
      <w:pPr>
        <w:pStyle w:val="Akapitzlist"/>
        <w:numPr>
          <w:ilvl w:val="0"/>
          <w:numId w:val="9"/>
        </w:numPr>
        <w:spacing w:line="360" w:lineRule="auto"/>
        <w:jc w:val="both"/>
        <w:rPr>
          <w:rFonts w:ascii="Century Gothic" w:eastAsia="Century Gothic" w:hAnsi="Century Gothic" w:cs="Century Gothic"/>
          <w:sz w:val="20"/>
          <w:szCs w:val="20"/>
        </w:rPr>
      </w:pPr>
      <w:r w:rsidRPr="00F36AD3">
        <w:rPr>
          <w:rFonts w:ascii="Century Gothic" w:hAnsi="Century Gothic"/>
          <w:sz w:val="20"/>
        </w:rPr>
        <w:t xml:space="preserve">In the event that the Contractor, in order to confirm compliance with the conditions for participation in the Procedure, encloses documents containing amounts expressed in currencies other than the Polish zloty, the Contracting Entity shall convert them into the Polish zloty. The average exchange rate of the National Bank of Poland (NBP) valid on the day of publication of the Contract notice shall be used for the conversion. </w:t>
      </w:r>
    </w:p>
    <w:p w14:paraId="30B5B0F6" w14:textId="2B7E7BBC" w:rsidR="00E649B8" w:rsidRPr="00E649B8" w:rsidRDefault="00E649B8" w:rsidP="00E649B8">
      <w:pPr>
        <w:pStyle w:val="Akapitzlist"/>
        <w:numPr>
          <w:ilvl w:val="0"/>
          <w:numId w:val="9"/>
        </w:numPr>
        <w:spacing w:line="360" w:lineRule="auto"/>
        <w:jc w:val="both"/>
        <w:rPr>
          <w:rFonts w:ascii="Century Gothic" w:eastAsia="Century Gothic" w:hAnsi="Century Gothic" w:cs="Century Gothic"/>
          <w:sz w:val="20"/>
          <w:szCs w:val="20"/>
        </w:rPr>
      </w:pPr>
      <w:r>
        <w:rPr>
          <w:rFonts w:ascii="Century Gothic,TimesNewRoman" w:hAnsi="Century Gothic,TimesNewRoman"/>
          <w:sz w:val="20"/>
        </w:rPr>
        <w:t xml:space="preserve">In the absence of publication of the exchange rates of the National Bank of Poland valid on the day referred to above, the last exchange rate announced before the aforementioned day shall apply, pursuant to § 8(5) of Resolution No. 51/2002 of the Management Board of the National Bank of Poland of 23 September 2002 on the method </w:t>
      </w:r>
      <w:r>
        <w:rPr>
          <w:rFonts w:ascii="Century Gothic,TimesNewRoman" w:hAnsi="Century Gothic,TimesNewRoman"/>
          <w:sz w:val="20"/>
        </w:rPr>
        <w:lastRenderedPageBreak/>
        <w:t>of calculating and announcing the current exchange rates of foreign currencies (consolidated text, OJ of the NBP of 2022, item 10).</w:t>
      </w:r>
    </w:p>
    <w:p w14:paraId="5F990B9C" w14:textId="25A591F7" w:rsidR="00062750" w:rsidRDefault="00062750" w:rsidP="00CC0AE9">
      <w:pPr>
        <w:spacing w:line="360" w:lineRule="auto"/>
        <w:jc w:val="both"/>
        <w:rPr>
          <w:rFonts w:ascii="Century Gothic" w:hAnsi="Century Gothic" w:cs="Century Gothic"/>
          <w:sz w:val="20"/>
          <w:szCs w:val="20"/>
          <w:highlight w:val="yellow"/>
        </w:rPr>
      </w:pPr>
    </w:p>
    <w:p w14:paraId="5BDD6CE6" w14:textId="77777777" w:rsidR="00DB5BB6" w:rsidRPr="004976A7" w:rsidRDefault="00DB5BB6" w:rsidP="00CC0AE9">
      <w:pPr>
        <w:spacing w:line="360" w:lineRule="auto"/>
        <w:jc w:val="both"/>
        <w:rPr>
          <w:rFonts w:ascii="Century Gothic" w:hAnsi="Century Gothic" w:cs="Century Gothic"/>
          <w:sz w:val="20"/>
          <w:szCs w:val="20"/>
          <w:highlight w:val="yellow"/>
        </w:rPr>
      </w:pPr>
    </w:p>
    <w:p w14:paraId="0D5F5157"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EXCLUSION OF A CONTRACTOR</w:t>
      </w:r>
    </w:p>
    <w:p w14:paraId="1CC03F23" w14:textId="56DFE113" w:rsidR="00CC0AE9" w:rsidRDefault="00CC0AE9"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The Contracting Entity shall exclude from the procurement Procedure:</w:t>
      </w:r>
    </w:p>
    <w:p w14:paraId="3AFDDDB1" w14:textId="5C576326"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subject to winding-up proceedings or bankruptcy, whose assets are being administered by a receiver or by a court, who has entered into an arrangement with creditors, whose business activities have been suspended or who is in any of such situations arising from a similar procedure provided for in the regulations of the place where such procedure has been initiated,</w:t>
      </w:r>
    </w:p>
    <w:p w14:paraId="382EB4D4" w14:textId="58A787EC" w:rsidR="001971C0" w:rsidRPr="00DB5BB6"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has been in breach of obligations relating to the payment of taxes, fees or social or health insurance contributions, unless the Contractor, before the expiry of the deadline for submitting tenders, has paid the taxes, fees or social or health insurance contributions due, including any interest or fines, or has entered into a binding agreement on the payment of those receivables,</w:t>
      </w:r>
    </w:p>
    <w:p w14:paraId="7E1B7514" w14:textId="46733237"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is a natural person who has been finally and non-revisably convicted of any of the following offences:</w:t>
      </w:r>
    </w:p>
    <w:p w14:paraId="38D1EB5B" w14:textId="37655816"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participation in an organised crime group or association aimed at committing a crime or fiscal offence referred to in Article 258 of the Penal Code, </w:t>
      </w:r>
    </w:p>
    <w:p w14:paraId="683ED693"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trafficking in human beings as referred to in Article 189a of the Penal Code, </w:t>
      </w:r>
    </w:p>
    <w:p w14:paraId="4DBAC168" w14:textId="1906711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referred to in Article 228-230a, Article 250a of the Penal Code or in Article 46 or Article 48 of the Act of 25 June 2010 on Sports (Journal of Laws 2022, item 1599), </w:t>
      </w:r>
    </w:p>
    <w:p w14:paraId="109AA43A"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financing a terrorist offence referred to in Article 165a of the Penal Code or an offence of preventing or hindering the ascertainment of the criminal origin of money or the concealment of its origin referred to in Article 299 of the Penal Code, </w:t>
      </w:r>
    </w:p>
    <w:p w14:paraId="179AF8B3"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of a terrorist nature, as referred to in Article 115(20) of the Penal Code, or aimed at committing such offence, </w:t>
      </w:r>
    </w:p>
    <w:p w14:paraId="2F43A446" w14:textId="100BD8A0"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entrusting work to a minor foreigner, as referred to in Article 9(2) of the Act of 15 June 2012 on the consequences of assigning work to foreigners unlawfully residing on the territory of the Republic of Poland (Journal of Laws 2021, item 1745 as amended), </w:t>
      </w:r>
    </w:p>
    <w:p w14:paraId="5101E294"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Pr>
          <w:rFonts w:ascii="Century Gothic" w:hAnsi="Century Gothic"/>
          <w:sz w:val="20"/>
        </w:rPr>
        <w:t xml:space="preserve"> against economic transactions referred to in Articles 296-307 of the Penal Code, a fraud offence referred to in Article 286 of the Penal Code, an offence against the reliability of documents referred to in Articles 270-277d of the Penal Code, or a fiscal offence, </w:t>
      </w:r>
    </w:p>
    <w:p w14:paraId="145DEC04" w14:textId="505E16BD" w:rsidR="007F7BA6" w:rsidRPr="0052082E" w:rsidRDefault="007F7BA6" w:rsidP="001025B1">
      <w:pPr>
        <w:pStyle w:val="Akapitzlist"/>
        <w:autoSpaceDE w:val="0"/>
        <w:autoSpaceDN w:val="0"/>
        <w:adjustRightInd w:val="0"/>
        <w:spacing w:line="360" w:lineRule="auto"/>
        <w:ind w:left="1080"/>
        <w:jc w:val="both"/>
        <w:rPr>
          <w:rFonts w:ascii="Century Gothic" w:hAnsi="Century Gothic"/>
          <w:sz w:val="20"/>
          <w:szCs w:val="20"/>
        </w:rPr>
      </w:pPr>
      <w:r>
        <w:rPr>
          <w:rFonts w:ascii="Century Gothic" w:hAnsi="Century Gothic"/>
          <w:sz w:val="20"/>
        </w:rPr>
        <w:lastRenderedPageBreak/>
        <w:t>or for a corresponding offence under foreign law.</w:t>
      </w:r>
    </w:p>
    <w:p w14:paraId="67B71AD3" w14:textId="45F1148A"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if an active member of its management or supervisory body, its partner in a registered partnership or professional partnership or their general partner in a limited partnership or limited joint-stock partnership has been convicted finally and non-revisably of an offence referred to in item 3.</w:t>
      </w:r>
    </w:p>
    <w:p w14:paraId="18ECBFDA" w14:textId="0637EEE6"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has been finally and non-revisably banned from competing for public contracts,</w:t>
      </w:r>
    </w:p>
    <w:p w14:paraId="4D88C39E" w14:textId="6BBEE9A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if there has been a distortion of competition resulting from prior involvement of that Contractor or an entity which is a member of the same capital group with the Contractor in the preparation of the Procedure, unless the distortion of competition caused thereby can be eliminated otherwise than by excluding the Contractor from participation in the Procedure,</w:t>
      </w:r>
    </w:p>
    <w:p w14:paraId="12C571CC" w14:textId="6358C5B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as a result of deliberate action or gross negligence, misled the Contracting Entity when presenting information on not being subject to exclusion, on satisfying the conditions for participation in the Procedure or the selection criteria, which could have had a significant impact on the decisions made by the Contracting Entity during the Procedure, or who concealed this information or is not able to submit the required documents,</w:t>
      </w:r>
    </w:p>
    <w:p w14:paraId="37AB893B" w14:textId="18FB9070"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who illegally influenced or attempted to influence the actions of the Contracting Entity or attempted to acquire or obtained confidential information which could give them an advantage in the Procedure for the award of the Contract,</w:t>
      </w:r>
    </w:p>
    <w:p w14:paraId="3C7C5CCF" w14:textId="17B1956F"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if the Contracting Entity can establish, based on reliable grounds, that the Contractor entered into an agreement with other Contractors aiming at distorting competition between the Contractors in the procurement Procedure,</w:t>
      </w:r>
    </w:p>
    <w:p w14:paraId="0A013610" w14:textId="5C6378B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entered on the List of Unreliable Suppliers,</w:t>
      </w:r>
    </w:p>
    <w:p w14:paraId="6B83B483" w14:textId="5B89D128" w:rsidR="001971C0" w:rsidRPr="004C6C47"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 xml:space="preserve">Contractor who, after the expiry of the deadline for submission of tenders, modifies the tender to the disadvantage of the Contracting Entity, </w:t>
      </w:r>
    </w:p>
    <w:p w14:paraId="62CB8057" w14:textId="77777777" w:rsidR="00E71651" w:rsidRDefault="00397B1A"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Contractor, if there is a conflict of interest which cannot be effectively eliminated otherwise than by excluding the Contractor,</w:t>
      </w:r>
    </w:p>
    <w:p w14:paraId="695C54B9" w14:textId="6B591A8D" w:rsidR="008371FC" w:rsidRPr="00DB5BB6" w:rsidRDefault="00E71651" w:rsidP="008371FC">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rPr>
        <w:t xml:space="preserve">Contractor, if there is grounds for exclusion under </w:t>
      </w:r>
      <w:r>
        <w:rPr>
          <w:rFonts w:ascii="Century Gothic" w:hAnsi="Century Gothic"/>
          <w:color w:val="000000"/>
          <w:sz w:val="20"/>
        </w:rPr>
        <w:t>Article 7(1) of the Act of 13 April 2022 on special measures preventing support for aggression against Ukraine and protecting national security (Journal of Laws of 2023, item 129, as amended)</w:t>
      </w:r>
      <w:r>
        <w:rPr>
          <w:rFonts w:ascii="Century Gothic" w:hAnsi="Century Gothic"/>
          <w:sz w:val="20"/>
        </w:rPr>
        <w:t>,</w:t>
      </w:r>
    </w:p>
    <w:p w14:paraId="45D34648" w14:textId="2E5DAA93" w:rsidR="008A7A46" w:rsidRPr="00DB5BB6" w:rsidRDefault="008371FC" w:rsidP="008371FC">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color w:val="000000"/>
          <w:sz w:val="20"/>
        </w:rPr>
        <w:t>Contractor in relation to whom the prerequisites specified in Section 2 below apply.</w:t>
      </w:r>
    </w:p>
    <w:p w14:paraId="73E56BC6" w14:textId="48EB552B" w:rsidR="002D7C45" w:rsidRPr="00DB5BB6" w:rsidRDefault="002D7C45"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It shall be prohibited to award to or further perform Contracts with the participation of:</w:t>
      </w:r>
    </w:p>
    <w:p w14:paraId="072F3D8C" w14:textId="5E885DB8" w:rsidR="002D7C45" w:rsidRPr="00DB5BB6" w:rsidRDefault="002D7C45" w:rsidP="002D7C45">
      <w:pPr>
        <w:pStyle w:val="Akapitzlist"/>
        <w:numPr>
          <w:ilvl w:val="0"/>
          <w:numId w:val="65"/>
        </w:numPr>
        <w:spacing w:line="360" w:lineRule="auto"/>
        <w:jc w:val="both"/>
        <w:rPr>
          <w:rFonts w:ascii="Century Gothic" w:hAnsi="Century Gothic" w:cs="Century Gothic"/>
          <w:sz w:val="20"/>
          <w:szCs w:val="20"/>
        </w:rPr>
      </w:pPr>
      <w:r>
        <w:rPr>
          <w:rFonts w:ascii="Century Gothic" w:hAnsi="Century Gothic"/>
          <w:sz w:val="20"/>
        </w:rPr>
        <w:t>Russian nationals or natural or legal persons, entities or bodies based in Russia,</w:t>
      </w:r>
    </w:p>
    <w:p w14:paraId="30803276" w14:textId="600EC0E8" w:rsidR="002D7C45" w:rsidRPr="00DB5BB6" w:rsidRDefault="002D7C45" w:rsidP="002D7C45">
      <w:pPr>
        <w:pStyle w:val="Akapitzlist"/>
        <w:numPr>
          <w:ilvl w:val="0"/>
          <w:numId w:val="65"/>
        </w:numPr>
        <w:spacing w:line="360" w:lineRule="auto"/>
        <w:jc w:val="both"/>
        <w:rPr>
          <w:rFonts w:ascii="Century Gothic" w:hAnsi="Century Gothic" w:cs="Century Gothic"/>
          <w:sz w:val="20"/>
          <w:szCs w:val="20"/>
        </w:rPr>
      </w:pPr>
      <w:r>
        <w:rPr>
          <w:rFonts w:ascii="Century Gothic" w:hAnsi="Century Gothic"/>
          <w:sz w:val="20"/>
        </w:rPr>
        <w:t>legal persons, entities or bodies with more than 50% direct or indirect ownership by an entity referred to in item 1) above,</w:t>
      </w:r>
    </w:p>
    <w:p w14:paraId="755EB870" w14:textId="5A795C4F" w:rsidR="002D7C45" w:rsidRPr="00DB5BB6" w:rsidRDefault="003A48F7" w:rsidP="002D7C45">
      <w:pPr>
        <w:pStyle w:val="Akapitzlist"/>
        <w:numPr>
          <w:ilvl w:val="0"/>
          <w:numId w:val="65"/>
        </w:numPr>
        <w:spacing w:line="360" w:lineRule="auto"/>
        <w:jc w:val="both"/>
        <w:rPr>
          <w:rFonts w:ascii="Century Gothic" w:hAnsi="Century Gothic" w:cs="Century Gothic"/>
          <w:sz w:val="20"/>
          <w:szCs w:val="20"/>
        </w:rPr>
      </w:pPr>
      <w:r>
        <w:rPr>
          <w:rFonts w:ascii="Century Gothic" w:hAnsi="Century Gothic"/>
          <w:sz w:val="20"/>
        </w:rPr>
        <w:lastRenderedPageBreak/>
        <w:t>natural or legal persons, entities or bodies acting on behalf of or under the direction of an entity referred to in item 1) or 2),</w:t>
      </w:r>
    </w:p>
    <w:p w14:paraId="1F9F1A28" w14:textId="626DBDF5" w:rsidR="003A48F7" w:rsidRPr="00DB5BB6" w:rsidRDefault="003A48F7" w:rsidP="008371FC">
      <w:pPr>
        <w:spacing w:line="360" w:lineRule="auto"/>
        <w:ind w:left="360"/>
        <w:jc w:val="both"/>
        <w:rPr>
          <w:rFonts w:ascii="Century Gothic" w:hAnsi="Century Gothic" w:cs="Century Gothic"/>
          <w:sz w:val="20"/>
          <w:szCs w:val="20"/>
        </w:rPr>
      </w:pPr>
      <w:r>
        <w:rPr>
          <w:rFonts w:ascii="Century Gothic" w:hAnsi="Century Gothic"/>
          <w:sz w:val="20"/>
        </w:rPr>
        <w:t xml:space="preserve">including subcontractors, further subcontractors or entities whose capacity is relied on within the meaning of Chapter VI Section </w:t>
      </w:r>
      <w:r w:rsidR="007A1287">
        <w:rPr>
          <w:rFonts w:ascii="Century Gothic" w:hAnsi="Century Gothic"/>
          <w:sz w:val="20"/>
        </w:rPr>
        <w:t>6</w:t>
      </w:r>
      <w:r>
        <w:rPr>
          <w:rFonts w:ascii="Century Gothic" w:hAnsi="Century Gothic"/>
          <w:sz w:val="20"/>
        </w:rPr>
        <w:t>, in the event that they account for more than 10% of the value of the Contract.</w:t>
      </w:r>
    </w:p>
    <w:p w14:paraId="384E7A36" w14:textId="1B67B05C" w:rsidR="001808BC" w:rsidRPr="00DB5BB6" w:rsidRDefault="001808BC"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Further, the Contracting Entity shall exclude the Contractor from the procurement Procedure:</w:t>
      </w:r>
    </w:p>
    <w:p w14:paraId="564E441F" w14:textId="3794B4FE" w:rsidR="001808BC" w:rsidRPr="00DB5BB6" w:rsidRDefault="001808BC" w:rsidP="00DA4A4F">
      <w:pPr>
        <w:pStyle w:val="Akapitzlist"/>
        <w:numPr>
          <w:ilvl w:val="0"/>
          <w:numId w:val="64"/>
        </w:numPr>
        <w:spacing w:line="360" w:lineRule="auto"/>
        <w:ind w:left="782" w:hanging="357"/>
        <w:jc w:val="both"/>
        <w:rPr>
          <w:rFonts w:ascii="Century Gothic" w:hAnsi="Century Gothic" w:cs="Century Gothic"/>
          <w:sz w:val="20"/>
          <w:szCs w:val="20"/>
        </w:rPr>
      </w:pPr>
      <w:r>
        <w:rPr>
          <w:rFonts w:ascii="Century Gothic" w:hAnsi="Century Gothic"/>
          <w:sz w:val="20"/>
        </w:rPr>
        <w:t>if the Contractor has capital, personal or other type of relationship with the Contracting Entity, which leads or could lead to lack of independence or conflict of interest in connection with the Contractor's performance of the Subject of the Contract,</w:t>
      </w:r>
    </w:p>
    <w:p w14:paraId="5EF057DA" w14:textId="5F6C73C6" w:rsidR="001808BC" w:rsidRPr="00DB5BB6" w:rsidRDefault="001808BC" w:rsidP="00DA4A4F">
      <w:pPr>
        <w:pStyle w:val="Akapitzlist"/>
        <w:numPr>
          <w:ilvl w:val="0"/>
          <w:numId w:val="64"/>
        </w:numPr>
        <w:spacing w:line="360" w:lineRule="auto"/>
        <w:ind w:left="782" w:hanging="357"/>
        <w:jc w:val="both"/>
        <w:rPr>
          <w:rFonts w:ascii="Century Gothic" w:hAnsi="Century Gothic" w:cs="Century Gothic"/>
          <w:sz w:val="20"/>
          <w:szCs w:val="20"/>
        </w:rPr>
      </w:pPr>
      <w:r>
        <w:rPr>
          <w:rFonts w:ascii="Century Gothic" w:hAnsi="Century Gothic"/>
          <w:sz w:val="20"/>
        </w:rPr>
        <w:t>if the Contractor is in dispute with the Contracting Entity, in particular if the dispute concerns supplies, services or construction work being carried out by the Contractor for the Contracting Entity,</w:t>
      </w:r>
    </w:p>
    <w:p w14:paraId="5EA24A98" w14:textId="38DBCC21" w:rsidR="001808BC" w:rsidRPr="00DB5BB6" w:rsidRDefault="001808BC" w:rsidP="00DA4A4F">
      <w:pPr>
        <w:pStyle w:val="Akapitzlist"/>
        <w:numPr>
          <w:ilvl w:val="0"/>
          <w:numId w:val="64"/>
        </w:numPr>
        <w:spacing w:line="360" w:lineRule="auto"/>
        <w:ind w:left="782" w:hanging="357"/>
        <w:jc w:val="both"/>
        <w:rPr>
          <w:rFonts w:ascii="Century Gothic" w:hAnsi="Century Gothic" w:cs="Century Gothic"/>
          <w:sz w:val="20"/>
          <w:szCs w:val="20"/>
        </w:rPr>
      </w:pPr>
      <w:r>
        <w:rPr>
          <w:rFonts w:ascii="Century Gothic" w:hAnsi="Century Gothic"/>
          <w:sz w:val="20"/>
        </w:rPr>
        <w:t xml:space="preserve">where the Contracting Entity, on the basis of authenticated information concerning circumstances relating to the Contractor such as non-performance or inadequate performance of </w:t>
      </w:r>
      <w:r w:rsidR="00990AE7">
        <w:rPr>
          <w:rFonts w:ascii="Century Gothic" w:hAnsi="Century Gothic"/>
          <w:sz w:val="20"/>
        </w:rPr>
        <w:t>a</w:t>
      </w:r>
      <w:r>
        <w:rPr>
          <w:rFonts w:ascii="Century Gothic" w:hAnsi="Century Gothic"/>
          <w:sz w:val="20"/>
        </w:rPr>
        <w:t xml:space="preserve"> contract to a significant extent or on a long-term basis or in relation to a significant element of </w:t>
      </w:r>
      <w:r w:rsidR="00990AE7">
        <w:rPr>
          <w:rFonts w:ascii="Century Gothic" w:hAnsi="Century Gothic"/>
          <w:sz w:val="20"/>
        </w:rPr>
        <w:t>a</w:t>
      </w:r>
      <w:r>
        <w:rPr>
          <w:rFonts w:ascii="Century Gothic" w:hAnsi="Century Gothic"/>
          <w:sz w:val="20"/>
        </w:rPr>
        <w:t xml:space="preserve"> contract concluded with another contracting entity, or any other type of serious breach of professional obligations occurring within the three years prior to the deadline for submission of tenders, has acquired significant doubts as to the reliability or integrity of the Contractor creating a serious risk of harm to the interests of the Company in the event of the award of the contract to that Contractor,</w:t>
      </w:r>
    </w:p>
    <w:p w14:paraId="73CBE60D" w14:textId="6332EC2C" w:rsidR="00103308" w:rsidRDefault="001808BC" w:rsidP="00DA4A4F">
      <w:pPr>
        <w:pStyle w:val="Akapitzlist"/>
        <w:numPr>
          <w:ilvl w:val="0"/>
          <w:numId w:val="64"/>
        </w:numPr>
        <w:spacing w:line="360" w:lineRule="auto"/>
        <w:ind w:left="782" w:hanging="357"/>
        <w:jc w:val="both"/>
        <w:rPr>
          <w:rFonts w:ascii="Century Gothic" w:hAnsi="Century Gothic" w:cs="Century Gothic"/>
          <w:sz w:val="20"/>
          <w:szCs w:val="20"/>
        </w:rPr>
      </w:pPr>
      <w:r>
        <w:rPr>
          <w:rFonts w:ascii="Century Gothic" w:hAnsi="Century Gothic"/>
          <w:sz w:val="20"/>
        </w:rPr>
        <w:t>if the Contractor has not submitted to the audit referred to in Chapter VII Section 12 of the ToR, or the result of the audit was not favourable,</w:t>
      </w:r>
    </w:p>
    <w:p w14:paraId="2D6A1C0C" w14:textId="77777777" w:rsidR="00F0294F" w:rsidRPr="002F54AB" w:rsidRDefault="00F0294F" w:rsidP="00F0294F">
      <w:pPr>
        <w:pStyle w:val="Akapitzlist"/>
        <w:numPr>
          <w:ilvl w:val="0"/>
          <w:numId w:val="64"/>
        </w:numPr>
        <w:spacing w:line="360" w:lineRule="auto"/>
        <w:ind w:left="782" w:hanging="357"/>
        <w:rPr>
          <w:rFonts w:ascii="Century Gothic" w:hAnsi="Century Gothic" w:cs="Century Gothic"/>
          <w:sz w:val="20"/>
          <w:szCs w:val="20"/>
        </w:rPr>
      </w:pPr>
      <w:r>
        <w:rPr>
          <w:rFonts w:ascii="Century Gothic" w:hAnsi="Century Gothic"/>
          <w:sz w:val="20"/>
        </w:rPr>
        <w:t>Contractor who, through recklessness or negligence, presented misleading information which could have had a significant impact on decisions made by the Contracting Entity in the contract award Procedure,</w:t>
      </w:r>
    </w:p>
    <w:p w14:paraId="5AC2CA55" w14:textId="77777777" w:rsidR="00F0294F" w:rsidRPr="002F54AB" w:rsidRDefault="00F0294F" w:rsidP="00F0294F">
      <w:pPr>
        <w:pStyle w:val="Akapitzlist"/>
        <w:numPr>
          <w:ilvl w:val="0"/>
          <w:numId w:val="64"/>
        </w:numPr>
        <w:spacing w:line="360" w:lineRule="auto"/>
        <w:ind w:left="782" w:hanging="357"/>
        <w:rPr>
          <w:rFonts w:ascii="Century Gothic" w:hAnsi="Century Gothic" w:cs="Century Gothic"/>
          <w:sz w:val="20"/>
          <w:szCs w:val="20"/>
        </w:rPr>
      </w:pPr>
      <w:r>
        <w:rPr>
          <w:rFonts w:ascii="Century Gothic" w:hAnsi="Century Gothic"/>
          <w:sz w:val="20"/>
        </w:rPr>
        <w:t xml:space="preserve">the Contractor who is failing to duly perform the contract awarded to him by the Contracting Entity, if the Contracting Entity has knowledge of this situation. </w:t>
      </w:r>
    </w:p>
    <w:p w14:paraId="6850E2BF" w14:textId="77777777" w:rsidR="00F0294F" w:rsidRPr="00DB5BB6" w:rsidRDefault="00F0294F" w:rsidP="002F54AB">
      <w:pPr>
        <w:pStyle w:val="Akapitzlist"/>
        <w:spacing w:line="360" w:lineRule="auto"/>
        <w:ind w:left="782"/>
        <w:jc w:val="both"/>
        <w:rPr>
          <w:rFonts w:ascii="Century Gothic" w:hAnsi="Century Gothic" w:cs="Century Gothic"/>
          <w:sz w:val="20"/>
          <w:szCs w:val="20"/>
        </w:rPr>
      </w:pPr>
    </w:p>
    <w:p w14:paraId="0B5E3743" w14:textId="52F2BB44" w:rsidR="004C6C47" w:rsidRDefault="004C6C47"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If the circumstances constituting grounds for excluding the Contractor from the Procedure are found, it is possible not to exclude the Contractor if the exclusion would be clearly disproportionate to the gravity of the identified tort, in particular if, despite the above-mentioned circumstances referred to in Section 1.2) and Section 3.2)-3) and 6), the Contractor's reliability does not raise any doubts or poses no risk of harming the Contracting Entity's interest during the performance of the Contract.</w:t>
      </w:r>
    </w:p>
    <w:p w14:paraId="22905BAA" w14:textId="2BE500D8" w:rsidR="00CC0AE9" w:rsidRPr="002A310F" w:rsidRDefault="00CC0AE9"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Pr>
          <w:rFonts w:ascii="Century Gothic" w:hAnsi="Century Gothic"/>
          <w:sz w:val="20"/>
        </w:rPr>
        <w:t xml:space="preserve">The Contracting Entity will notify the Contractor of their exclusion from the Procedure. </w:t>
      </w:r>
    </w:p>
    <w:p w14:paraId="17194D8B" w14:textId="77777777" w:rsidR="00CC0AE9" w:rsidRPr="004976A7" w:rsidRDefault="00CC0AE9" w:rsidP="00CC0AE9">
      <w:pPr>
        <w:spacing w:line="360" w:lineRule="auto"/>
        <w:ind w:left="360"/>
        <w:jc w:val="both"/>
        <w:rPr>
          <w:rFonts w:ascii="Century Gothic" w:hAnsi="Century Gothic" w:cs="Century Gothic"/>
          <w:sz w:val="20"/>
          <w:szCs w:val="20"/>
        </w:rPr>
      </w:pPr>
    </w:p>
    <w:p w14:paraId="40C09D98"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lastRenderedPageBreak/>
        <w:t>TENDER REJECTION</w:t>
      </w:r>
    </w:p>
    <w:p w14:paraId="386AB0BA" w14:textId="77777777" w:rsidR="00CC0AE9" w:rsidRPr="00DB5BB6" w:rsidRDefault="00CC0AE9" w:rsidP="00BE508D">
      <w:pPr>
        <w:pStyle w:val="Tekstpodstawowywcity2"/>
        <w:numPr>
          <w:ilvl w:val="0"/>
          <w:numId w:val="10"/>
        </w:numPr>
        <w:spacing w:after="0" w:line="360" w:lineRule="auto"/>
        <w:jc w:val="both"/>
        <w:rPr>
          <w:rFonts w:ascii="Century Gothic" w:hAnsi="Century Gothic" w:cs="Century Gothic"/>
          <w:sz w:val="20"/>
          <w:szCs w:val="20"/>
        </w:rPr>
      </w:pPr>
      <w:r>
        <w:rPr>
          <w:rFonts w:ascii="Century Gothic" w:hAnsi="Century Gothic"/>
          <w:sz w:val="20"/>
        </w:rPr>
        <w:t xml:space="preserve">the Contracting Entity shall have the right to reject a tender if: </w:t>
      </w:r>
    </w:p>
    <w:p w14:paraId="700AA79C" w14:textId="339B3A30" w:rsidR="00CC0AE9"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its content does not meet the requirements specified in the ToR, subject to Chapter VII Section 10 of the ToR,</w:t>
      </w:r>
    </w:p>
    <w:p w14:paraId="63CCF5EB" w14:textId="12F3FE68" w:rsidR="006B2C1B"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it was submitted by Contractor who had been excluded from the participation in the Procedure,</w:t>
      </w:r>
    </w:p>
    <w:p w14:paraId="49032817" w14:textId="46A59BBB" w:rsidR="00CC0AE9"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 xml:space="preserve">the Contractor, within the designated time limit, has challenged the correction of another error referred to in Chapter VII Section 10.3), </w:t>
      </w:r>
    </w:p>
    <w:p w14:paraId="1925CD87" w14:textId="77777777" w:rsidR="00CC0AE9"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is invalid under separate regulations,</w:t>
      </w:r>
    </w:p>
    <w:p w14:paraId="5A4A7F58" w14:textId="5A5433F1" w:rsidR="00CC0AE9" w:rsidRPr="004976A7"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has been submitted under the conditions of an act of unfair competition within the meaning of the provisions on counteracting unfair competition,</w:t>
      </w:r>
    </w:p>
    <w:p w14:paraId="4B034D3C" w14:textId="077A3795" w:rsidR="00040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 xml:space="preserve">the tender contains an exceedingly low price or cost in relation to the subject matter of the non-public procurement </w:t>
      </w:r>
      <w:r w:rsidR="006B0699">
        <w:rPr>
          <w:rFonts w:ascii="Century Gothic" w:hAnsi="Century Gothic"/>
          <w:sz w:val="20"/>
        </w:rPr>
        <w:t>contract award P</w:t>
      </w:r>
      <w:r>
        <w:rPr>
          <w:rFonts w:ascii="Century Gothic" w:hAnsi="Century Gothic"/>
          <w:sz w:val="20"/>
        </w:rPr>
        <w:t>rocedure, and the Contractor, having been previously requested to provide clarifications in this respect, failed to prove that the price contained in the tender is realistic or failed to submit the clarifications within the deadline indicated by the Contracting Entity,</w:t>
      </w:r>
    </w:p>
    <w:p w14:paraId="770441DC" w14:textId="6B598AAD" w:rsidR="00CC0AE9"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was submitted after the deadline for submission of tenders,</w:t>
      </w:r>
    </w:p>
    <w:p w14:paraId="4A0C7660" w14:textId="1E380190"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was not prepared or submitted in the manner compliant with the technical and organisational requirements for preparing or submitting tenders by electronic means of communication specified by the Contracting Entity,</w:t>
      </w:r>
    </w:p>
    <w:p w14:paraId="65A0A7A2" w14:textId="64074FAE"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Contractor failed to prove meeting the conditions for participation in the Procedure, in particular failed to submit documents, statements or powers to represent required by the Contracting Entity,</w:t>
      </w:r>
    </w:p>
    <w:p w14:paraId="00DB770C" w14:textId="3CD0003F"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contains incorrect price or cost calculations,</w:t>
      </w:r>
    </w:p>
    <w:p w14:paraId="12A63A8B" w14:textId="048C6D97"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Contractor did not agree to an extension of the tender validity period in the form proper for the submitted tender,</w:t>
      </w:r>
    </w:p>
    <w:p w14:paraId="64474961" w14:textId="3F876583" w:rsidR="008A4164" w:rsidRDefault="008A4164"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sz w:val="20"/>
        </w:rPr>
        <w:t>the tender acceptance would violate public security or a major interest of the state security, and this security or interest could not be guaranteed in any other manner,</w:t>
      </w:r>
    </w:p>
    <w:p w14:paraId="795F8E87" w14:textId="77777777" w:rsidR="00CC0AE9" w:rsidRPr="004976A7" w:rsidRDefault="00CC0AE9" w:rsidP="00BE508D">
      <w:pPr>
        <w:pStyle w:val="Tekstpodstawowywcity2"/>
        <w:numPr>
          <w:ilvl w:val="0"/>
          <w:numId w:val="10"/>
        </w:numPr>
        <w:spacing w:after="0" w:line="360" w:lineRule="auto"/>
        <w:jc w:val="both"/>
        <w:rPr>
          <w:rFonts w:ascii="Century Gothic" w:hAnsi="Century Gothic" w:cs="Century Gothic"/>
          <w:b/>
          <w:bCs/>
          <w:sz w:val="20"/>
          <w:szCs w:val="20"/>
        </w:rPr>
      </w:pPr>
      <w:r>
        <w:rPr>
          <w:rFonts w:ascii="Century Gothic" w:hAnsi="Century Gothic"/>
          <w:sz w:val="20"/>
        </w:rPr>
        <w:t>The Contracting Entity shall notify the Contractor whose tender has been rejected of the rejection of the tender.</w:t>
      </w:r>
    </w:p>
    <w:p w14:paraId="61EBC9C0" w14:textId="77777777" w:rsidR="00CC0AE9" w:rsidRPr="004976A7" w:rsidRDefault="00CC0AE9" w:rsidP="00CC0AE9">
      <w:pPr>
        <w:spacing w:line="360" w:lineRule="auto"/>
        <w:rPr>
          <w:rFonts w:ascii="Century Gothic" w:hAnsi="Century Gothic" w:cs="Century Gothic"/>
          <w:sz w:val="20"/>
          <w:szCs w:val="20"/>
          <w:highlight w:val="yellow"/>
        </w:rPr>
      </w:pPr>
    </w:p>
    <w:p w14:paraId="2DA7BC9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THE METHOD OF COMMUNICATION BETWEEN THE CONTRACTING ENTITY AND CONTRACTORS AND PROVIDING STATEMENTS AND DOCUMENTS SPECIFYING PERSONS AUTHORISED TO COMMUNICATE WITH CONTRACTORS</w:t>
      </w:r>
    </w:p>
    <w:p w14:paraId="16F9DD25" w14:textId="7CAB5A3F"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Pr>
          <w:rFonts w:ascii="Century Gothic" w:hAnsi="Century Gothic"/>
          <w:sz w:val="20"/>
        </w:rPr>
        <w:t xml:space="preserve">In the </w:t>
      </w:r>
      <w:r w:rsidR="00340E69">
        <w:rPr>
          <w:rFonts w:ascii="Century Gothic" w:hAnsi="Century Gothic"/>
          <w:sz w:val="20"/>
        </w:rPr>
        <w:t>contract award</w:t>
      </w:r>
      <w:r>
        <w:rPr>
          <w:rFonts w:ascii="Century Gothic" w:hAnsi="Century Gothic"/>
          <w:sz w:val="20"/>
        </w:rPr>
        <w:t xml:space="preserve"> Procedure, statements, requests, notifications and information shall be submitted by the Contracting Entity and Contractors by electronic means.</w:t>
      </w:r>
    </w:p>
    <w:p w14:paraId="0AA59F73" w14:textId="77777777"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bookmarkStart w:id="6" w:name="_Toc115677416"/>
      <w:r>
        <w:rPr>
          <w:rFonts w:ascii="Century Gothic" w:hAnsi="Century Gothic"/>
          <w:sz w:val="20"/>
        </w:rPr>
        <w:lastRenderedPageBreak/>
        <w:t>Statements, requests, notifications, information shall be provided by the Contractor by:</w:t>
      </w:r>
    </w:p>
    <w:p w14:paraId="56178BDB" w14:textId="298EAA51" w:rsidR="0085640D" w:rsidRPr="00DB5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b/>
          <w:sz w:val="20"/>
          <w:szCs w:val="20"/>
        </w:rPr>
      </w:pPr>
      <w:r>
        <w:rPr>
          <w:rFonts w:ascii="Century Gothic" w:hAnsi="Century Gothic"/>
          <w:b/>
          <w:sz w:val="20"/>
        </w:rPr>
        <w:t>e-mail</w:t>
      </w:r>
      <w:r>
        <w:rPr>
          <w:rFonts w:ascii="Century Gothic" w:hAnsi="Century Gothic"/>
          <w:sz w:val="20"/>
        </w:rPr>
        <w:t xml:space="preserve"> to the following address: </w:t>
      </w:r>
      <w:hyperlink r:id="rId14" w:history="1">
        <w:r>
          <w:rPr>
            <w:rStyle w:val="Hipercze"/>
            <w:rFonts w:ascii="Century Gothic" w:hAnsi="Century Gothic"/>
            <w:sz w:val="20"/>
          </w:rPr>
          <w:t>mateusz.gorta@gaz-system.pl</w:t>
        </w:r>
      </w:hyperlink>
      <w:r>
        <w:rPr>
          <w:rFonts w:ascii="Century Gothic" w:hAnsi="Century Gothic"/>
          <w:sz w:val="20"/>
        </w:rPr>
        <w:t xml:space="preserve"> </w:t>
      </w:r>
    </w:p>
    <w:p w14:paraId="0CF9CE92" w14:textId="54B211B4" w:rsidR="00857BC7" w:rsidRPr="00DB5BB6" w:rsidRDefault="00857BC7" w:rsidP="0085640D">
      <w:pPr>
        <w:pStyle w:val="Tekstpodstawowywcity2"/>
        <w:spacing w:after="0" w:line="360" w:lineRule="auto"/>
        <w:ind w:left="709"/>
        <w:jc w:val="both"/>
        <w:rPr>
          <w:rFonts w:ascii="Century Gothic" w:hAnsi="Century Gothic" w:cs="Century Gothic"/>
          <w:b/>
          <w:sz w:val="20"/>
          <w:szCs w:val="20"/>
        </w:rPr>
      </w:pPr>
      <w:r>
        <w:rPr>
          <w:rFonts w:ascii="Century Gothic" w:hAnsi="Century Gothic"/>
          <w:b/>
          <w:sz w:val="20"/>
        </w:rPr>
        <w:t>The subject (heading) of an e-mail message must start with the number of the Procedure assigned by the Contracting Entity, i.e.</w:t>
      </w:r>
      <w:r w:rsidR="00340E69">
        <w:rPr>
          <w:rFonts w:ascii="Century Gothic" w:hAnsi="Century Gothic"/>
          <w:b/>
          <w:sz w:val="20"/>
        </w:rPr>
        <w:t xml:space="preserve"> </w:t>
      </w:r>
      <w:r>
        <w:rPr>
          <w:rFonts w:ascii="Century Gothic" w:hAnsi="Century Gothic"/>
          <w:sz w:val="20"/>
        </w:rPr>
        <w:t>NP/2023/07/0320/PK</w:t>
      </w:r>
    </w:p>
    <w:p w14:paraId="66765C6D" w14:textId="1BCAA30B" w:rsidR="00CC0AE9" w:rsidRPr="00DB5BB6" w:rsidRDefault="00857BC7"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b/>
          <w:sz w:val="20"/>
        </w:rPr>
        <w:t xml:space="preserve">electronic means </w:t>
      </w:r>
      <w:r>
        <w:rPr>
          <w:rFonts w:ascii="Century Gothic" w:hAnsi="Century Gothic"/>
          <w:sz w:val="20"/>
        </w:rPr>
        <w:t xml:space="preserve">via the Procurement Portal.  </w:t>
      </w:r>
    </w:p>
    <w:p w14:paraId="65C4B3F0" w14:textId="77777777" w:rsidR="00324210" w:rsidRPr="00DB5BB6" w:rsidRDefault="00CC0AE9" w:rsidP="00CC0AE9">
      <w:pPr>
        <w:pStyle w:val="Akapitzlist"/>
        <w:tabs>
          <w:tab w:val="right" w:leader="underscore" w:pos="9072"/>
        </w:tabs>
        <w:spacing w:line="360" w:lineRule="auto"/>
        <w:ind w:left="714"/>
        <w:jc w:val="both"/>
        <w:rPr>
          <w:rFonts w:ascii="Century Gothic" w:hAnsi="Century Gothic" w:cs="Century Gothic"/>
          <w:b/>
          <w:bCs/>
          <w:sz w:val="20"/>
          <w:szCs w:val="20"/>
        </w:rPr>
      </w:pPr>
      <w:r>
        <w:rPr>
          <w:rFonts w:ascii="Century Gothic" w:hAnsi="Century Gothic"/>
          <w:sz w:val="20"/>
        </w:rPr>
        <w:t>Note:</w:t>
      </w:r>
      <w:r>
        <w:rPr>
          <w:rFonts w:ascii="Century Gothic" w:hAnsi="Century Gothic"/>
          <w:b/>
          <w:sz w:val="20"/>
        </w:rPr>
        <w:t xml:space="preserve"> </w:t>
      </w:r>
    </w:p>
    <w:p w14:paraId="766FE137" w14:textId="6529FECA" w:rsidR="0072080E" w:rsidRPr="00DB5BB6" w:rsidRDefault="007771CC" w:rsidP="00CC0AE9">
      <w:pPr>
        <w:pStyle w:val="Akapitzlist"/>
        <w:tabs>
          <w:tab w:val="right" w:leader="underscore" w:pos="9072"/>
        </w:tabs>
        <w:spacing w:line="360" w:lineRule="auto"/>
        <w:ind w:left="714"/>
        <w:jc w:val="both"/>
        <w:rPr>
          <w:rFonts w:ascii="Century Gothic" w:hAnsi="Century Gothic" w:cs="Century Gothic"/>
          <w:b/>
          <w:bCs/>
          <w:color w:val="FF0000"/>
          <w:sz w:val="20"/>
          <w:szCs w:val="20"/>
        </w:rPr>
      </w:pPr>
      <w:r>
        <w:rPr>
          <w:rFonts w:ascii="Century Gothic" w:hAnsi="Century Gothic"/>
          <w:b/>
          <w:color w:val="FF0000"/>
          <w:sz w:val="20"/>
        </w:rPr>
        <w:t xml:space="preserve">Submission of requests for clarification of the content of the ToR shall be made only in the form specified in item 2) above. </w:t>
      </w:r>
    </w:p>
    <w:p w14:paraId="6A39267C" w14:textId="6F00AA30" w:rsidR="00CC0AE9" w:rsidRPr="002A310F" w:rsidRDefault="00F0294F"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Pr>
          <w:rFonts w:ascii="Century Gothic" w:hAnsi="Century Gothic"/>
          <w:sz w:val="20"/>
        </w:rPr>
        <w:t>The Contracting Entity informs that the submission of the tender is only possible after the prior setting up of an account. The procedure for setting up an account is described at: https://portal.gaz-system.pl/ (submission of a request for clarification of the content of the ToR is possible without setting up an account on the Procurement Portal). Statements, requests, notifications and information submitted by electronic means shall be deemed submitted within the deadline, if their content reaches the addressee before the lapse of the deadline. The Contracting Entity shall have the right to waive the requirement referred to in the first sentence. If requests, notifications, statements and information are transmitted by the Contracting Entity or the Contractor by electronic means, each party shall, upon request of the other, immediately confirm the fact of their receipt.</w:t>
      </w:r>
    </w:p>
    <w:bookmarkEnd w:id="6"/>
    <w:p w14:paraId="2D8662A7" w14:textId="32A18A60" w:rsidR="00CC0AE9" w:rsidRPr="003B4DE1"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Pr>
          <w:rFonts w:ascii="Century Gothic" w:hAnsi="Century Gothic"/>
          <w:sz w:val="20"/>
        </w:rPr>
        <w:t>The person authorised to communicate with Contractors and provide clarifications from Monday to Friday from 8:00 a.m. to 3:00 p.m.</w:t>
      </w:r>
      <w:r w:rsidR="00340E69">
        <w:rPr>
          <w:rFonts w:ascii="Century Gothic" w:hAnsi="Century Gothic"/>
          <w:sz w:val="20"/>
        </w:rPr>
        <w:t xml:space="preserve"> (except for public holidays)</w:t>
      </w:r>
      <w:r>
        <w:rPr>
          <w:rFonts w:ascii="Century Gothic" w:hAnsi="Century Gothic"/>
          <w:sz w:val="20"/>
        </w:rPr>
        <w:t>, regarding formal matters, i.e. relating to the contract award Procedure, is:</w:t>
      </w:r>
    </w:p>
    <w:p w14:paraId="178360F6" w14:textId="57C1D1C0" w:rsidR="00CC0AE9" w:rsidRPr="003B4DE1" w:rsidRDefault="00CC0AE9" w:rsidP="00CC0AE9">
      <w:pPr>
        <w:tabs>
          <w:tab w:val="right" w:leader="underscore" w:pos="9072"/>
        </w:tabs>
        <w:spacing w:line="360" w:lineRule="auto"/>
        <w:ind w:left="357"/>
        <w:jc w:val="both"/>
        <w:rPr>
          <w:rFonts w:ascii="Century Gothic" w:hAnsi="Century Gothic" w:cs="Century Gothic"/>
          <w:sz w:val="20"/>
          <w:szCs w:val="20"/>
        </w:rPr>
      </w:pPr>
      <w:r>
        <w:rPr>
          <w:rFonts w:ascii="Century Gothic" w:hAnsi="Century Gothic"/>
          <w:b/>
          <w:sz w:val="20"/>
        </w:rPr>
        <w:t xml:space="preserve">Mr Mateusz Gorta-Busz </w:t>
      </w:r>
    </w:p>
    <w:p w14:paraId="262B6B00" w14:textId="7358E2B6" w:rsidR="00CC0AE9" w:rsidRPr="003B4DE1" w:rsidRDefault="00CC0AE9" w:rsidP="00CC0AE9">
      <w:pPr>
        <w:tabs>
          <w:tab w:val="right" w:leader="underscore" w:pos="9072"/>
        </w:tabs>
        <w:spacing w:line="360" w:lineRule="auto"/>
        <w:ind w:left="357"/>
        <w:jc w:val="both"/>
        <w:rPr>
          <w:rStyle w:val="Hipercze"/>
          <w:rFonts w:ascii="Century Gothic" w:hAnsi="Century Gothic" w:cs="Century Gothic"/>
          <w:color w:val="auto"/>
          <w:sz w:val="20"/>
          <w:szCs w:val="20"/>
        </w:rPr>
      </w:pPr>
      <w:r>
        <w:rPr>
          <w:rFonts w:ascii="Century Gothic" w:hAnsi="Century Gothic"/>
          <w:sz w:val="20"/>
        </w:rPr>
        <w:t xml:space="preserve">Telephone: +48 22 200 16 96; e-mail: </w:t>
      </w:r>
      <w:hyperlink r:id="rId15" w:history="1">
        <w:r>
          <w:rPr>
            <w:rStyle w:val="Hipercze"/>
            <w:rFonts w:ascii="Century Gothic" w:hAnsi="Century Gothic"/>
            <w:sz w:val="20"/>
          </w:rPr>
          <w:t>mateusz.gorta@gaz-system.pl</w:t>
        </w:r>
      </w:hyperlink>
    </w:p>
    <w:p w14:paraId="6AB4AA3A" w14:textId="77777777" w:rsidR="00CC0AE9" w:rsidRPr="003B4DE1" w:rsidRDefault="00CC0AE9" w:rsidP="00CC0AE9">
      <w:pPr>
        <w:pStyle w:val="Tekstpodstawowy"/>
        <w:suppressAutoHyphens/>
        <w:spacing w:after="0" w:line="360" w:lineRule="auto"/>
        <w:rPr>
          <w:rFonts w:ascii="Century Gothic" w:hAnsi="Century Gothic" w:cs="Century Gothic"/>
          <w:sz w:val="20"/>
          <w:szCs w:val="20"/>
        </w:rPr>
      </w:pPr>
    </w:p>
    <w:p w14:paraId="2FF35AFF" w14:textId="77777777" w:rsidR="00CC0AE9" w:rsidRPr="003B4DE1"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TENDER SECURITY REQUIREMENTS</w:t>
      </w:r>
    </w:p>
    <w:p w14:paraId="7FAFA956" w14:textId="051DDCDE" w:rsidR="00CC0AE9" w:rsidRPr="003B4DE1" w:rsidRDefault="00CC0AE9" w:rsidP="003B4DE1">
      <w:pPr>
        <w:tabs>
          <w:tab w:val="right" w:leader="underscore" w:pos="9072"/>
        </w:tabs>
        <w:spacing w:line="360" w:lineRule="auto"/>
        <w:ind w:left="499" w:hanging="499"/>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 xml:space="preserve">does not require </w:t>
      </w:r>
      <w:r>
        <w:rPr>
          <w:rFonts w:ascii="Century Gothic" w:hAnsi="Century Gothic"/>
          <w:sz w:val="20"/>
        </w:rPr>
        <w:t>a tender security.</w:t>
      </w:r>
    </w:p>
    <w:p w14:paraId="11004B12" w14:textId="34A647A1" w:rsidR="00CC0AE9" w:rsidRPr="004976A7" w:rsidRDefault="00806F3C"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DEADLINE FOR SUBMISSION OF TENDERS</w:t>
      </w:r>
    </w:p>
    <w:p w14:paraId="534CAAB5" w14:textId="2CF3FFCB" w:rsidR="00CC0AE9" w:rsidRPr="004976A7" w:rsidRDefault="00CC0AE9" w:rsidP="00CC0AE9">
      <w:pPr>
        <w:pStyle w:val="tekst"/>
        <w:numPr>
          <w:ilvl w:val="0"/>
          <w:numId w:val="3"/>
        </w:numPr>
        <w:spacing w:before="0" w:after="0" w:line="360" w:lineRule="auto"/>
        <w:rPr>
          <w:rFonts w:ascii="Century Gothic" w:hAnsi="Century Gothic" w:cs="Century Gothic"/>
          <w:kern w:val="144"/>
          <w:sz w:val="20"/>
          <w:szCs w:val="20"/>
        </w:rPr>
      </w:pPr>
      <w:r>
        <w:rPr>
          <w:rFonts w:ascii="Century Gothic" w:hAnsi="Century Gothic"/>
          <w:sz w:val="20"/>
        </w:rPr>
        <w:t xml:space="preserve">The Contractor shall remain bound by his tender for the period of 45 days, i.e. until </w:t>
      </w:r>
      <w:r w:rsidR="00990F1D">
        <w:rPr>
          <w:rFonts w:ascii="Century Gothic" w:hAnsi="Century Gothic"/>
          <w:sz w:val="20"/>
        </w:rPr>
        <w:t>03</w:t>
      </w:r>
      <w:r>
        <w:rPr>
          <w:rFonts w:ascii="Century Gothic" w:hAnsi="Century Gothic"/>
          <w:sz w:val="20"/>
        </w:rPr>
        <w:t xml:space="preserve"> </w:t>
      </w:r>
      <w:r w:rsidR="00990F1D">
        <w:rPr>
          <w:rFonts w:ascii="Century Gothic" w:hAnsi="Century Gothic"/>
          <w:sz w:val="20"/>
        </w:rPr>
        <w:t>September</w:t>
      </w:r>
      <w:r>
        <w:rPr>
          <w:rFonts w:ascii="Century Gothic" w:hAnsi="Century Gothic"/>
          <w:sz w:val="20"/>
        </w:rPr>
        <w:t xml:space="preserve"> 202</w:t>
      </w:r>
      <w:r w:rsidR="00990F1D">
        <w:rPr>
          <w:rFonts w:ascii="Century Gothic" w:hAnsi="Century Gothic"/>
          <w:sz w:val="20"/>
        </w:rPr>
        <w:t>3</w:t>
      </w:r>
      <w:r>
        <w:rPr>
          <w:rFonts w:ascii="Century Gothic" w:hAnsi="Century Gothic"/>
          <w:sz w:val="20"/>
        </w:rPr>
        <w:t xml:space="preserve">. </w:t>
      </w:r>
    </w:p>
    <w:p w14:paraId="3F3DD24C" w14:textId="12685879" w:rsidR="00CC0AE9" w:rsidRPr="004976A7" w:rsidRDefault="004C7E53" w:rsidP="00CC0AE9">
      <w:pPr>
        <w:pStyle w:val="tekst"/>
        <w:numPr>
          <w:ilvl w:val="0"/>
          <w:numId w:val="3"/>
        </w:numPr>
        <w:spacing w:before="0" w:after="0" w:line="360" w:lineRule="auto"/>
        <w:rPr>
          <w:rFonts w:ascii="Century Gothic" w:hAnsi="Century Gothic" w:cs="Century Gothic"/>
          <w:kern w:val="144"/>
          <w:sz w:val="20"/>
          <w:szCs w:val="20"/>
        </w:rPr>
      </w:pPr>
      <w:r>
        <w:rPr>
          <w:rFonts w:ascii="Century Gothic" w:hAnsi="Century Gothic"/>
          <w:sz w:val="20"/>
        </w:rPr>
        <w:t>The first day of the tender validity period shall be the day on which the deadline for the submission of tenders expires.</w:t>
      </w:r>
    </w:p>
    <w:p w14:paraId="41B980B4" w14:textId="3926D318" w:rsidR="00CC0AE9" w:rsidRPr="00573B28" w:rsidRDefault="00CC0AE9" w:rsidP="00CC0AE9">
      <w:pPr>
        <w:pStyle w:val="tekst"/>
        <w:numPr>
          <w:ilvl w:val="0"/>
          <w:numId w:val="3"/>
        </w:numPr>
        <w:spacing w:before="0" w:after="0" w:line="360" w:lineRule="auto"/>
        <w:rPr>
          <w:rFonts w:ascii="Century Gothic" w:hAnsi="Century Gothic" w:cs="Century Gothic"/>
          <w:kern w:val="144"/>
          <w:sz w:val="20"/>
          <w:szCs w:val="20"/>
        </w:rPr>
      </w:pPr>
      <w:r>
        <w:rPr>
          <w:rFonts w:ascii="Century Gothic" w:hAnsi="Century Gothic"/>
          <w:sz w:val="20"/>
        </w:rPr>
        <w:t>The Contracting Entity may request the consent of the Contractors to extend this period by a further period necessary to complete the Procedure, i.e. conclude the contract.</w:t>
      </w:r>
    </w:p>
    <w:p w14:paraId="048B6418" w14:textId="77777777" w:rsidR="00CC0AE9" w:rsidRPr="004976A7" w:rsidRDefault="00CC0AE9" w:rsidP="00CC0AE9">
      <w:pPr>
        <w:pStyle w:val="tekst"/>
        <w:spacing w:before="0" w:after="0" w:line="360" w:lineRule="auto"/>
        <w:ind w:left="357"/>
        <w:rPr>
          <w:rFonts w:ascii="Century Gothic" w:hAnsi="Century Gothic" w:cs="Century Gothic"/>
          <w:kern w:val="144"/>
          <w:sz w:val="20"/>
          <w:szCs w:val="20"/>
        </w:rPr>
      </w:pPr>
    </w:p>
    <w:p w14:paraId="728B930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DESCRIPTION OF TENDER PREPARATION</w:t>
      </w:r>
    </w:p>
    <w:p w14:paraId="6F938698" w14:textId="38403AE3" w:rsidR="00CC0AE9" w:rsidRPr="006E2BE6" w:rsidRDefault="00CC0AE9" w:rsidP="00BE508D">
      <w:pPr>
        <w:pStyle w:val="Akapitzlist"/>
        <w:numPr>
          <w:ilvl w:val="0"/>
          <w:numId w:val="13"/>
        </w:numPr>
        <w:spacing w:line="360" w:lineRule="auto"/>
        <w:jc w:val="both"/>
        <w:rPr>
          <w:rFonts w:ascii="Century Gothic" w:hAnsi="Century Gothic" w:cs="Century Gothic"/>
          <w:sz w:val="20"/>
          <w:szCs w:val="20"/>
        </w:rPr>
      </w:pPr>
      <w:r>
        <w:rPr>
          <w:rFonts w:ascii="Century Gothic" w:hAnsi="Century Gothic"/>
          <w:sz w:val="20"/>
        </w:rPr>
        <w:lastRenderedPageBreak/>
        <w:t xml:space="preserve">A Contractor may submit only one tender. Submission of more than one tender may result in rejection of all tenders submitted by the Contractor. </w:t>
      </w:r>
    </w:p>
    <w:p w14:paraId="099F7187" w14:textId="77777777" w:rsidR="00CC0AE9" w:rsidRPr="006E2BE6" w:rsidRDefault="00CC0AE9" w:rsidP="00BE508D">
      <w:pPr>
        <w:numPr>
          <w:ilvl w:val="0"/>
          <w:numId w:val="13"/>
        </w:numPr>
        <w:spacing w:line="360" w:lineRule="auto"/>
        <w:rPr>
          <w:rFonts w:ascii="Century Gothic" w:hAnsi="Century Gothic" w:cs="Century Gothic"/>
          <w:sz w:val="20"/>
          <w:szCs w:val="20"/>
        </w:rPr>
      </w:pPr>
      <w:r>
        <w:rPr>
          <w:rFonts w:ascii="Century Gothic" w:hAnsi="Century Gothic"/>
          <w:sz w:val="20"/>
        </w:rPr>
        <w:t>The contents of the tender shall comply with the contents of the ToR.</w:t>
      </w:r>
    </w:p>
    <w:p w14:paraId="44D308B5" w14:textId="6665706C" w:rsidR="00CC0AE9" w:rsidRPr="0019627F" w:rsidRDefault="003B0A17" w:rsidP="00BE508D">
      <w:pPr>
        <w:numPr>
          <w:ilvl w:val="0"/>
          <w:numId w:val="13"/>
        </w:numPr>
        <w:spacing w:line="360" w:lineRule="auto"/>
        <w:jc w:val="both"/>
        <w:rPr>
          <w:rFonts w:ascii="Century Gothic" w:hAnsi="Century Gothic" w:cs="Century Gothic"/>
          <w:sz w:val="20"/>
          <w:szCs w:val="20"/>
        </w:rPr>
      </w:pPr>
      <w:r>
        <w:rPr>
          <w:rFonts w:ascii="Century Gothic" w:hAnsi="Century Gothic"/>
          <w:b/>
          <w:sz w:val="20"/>
        </w:rPr>
        <w:t xml:space="preserve">The Contracting Entity recommends that the tender be submitted in one of the following formats: JPG, JPEG, TIF, TIFF, PNG, PDF, consistent in content with Appendix No. 3 to the ToR </w:t>
      </w:r>
      <w:r>
        <w:rPr>
          <w:b/>
        </w:rPr>
        <w:t xml:space="preserve"> </w:t>
      </w:r>
      <w:r>
        <w:rPr>
          <w:rFonts w:ascii="Century Gothic" w:hAnsi="Century Gothic"/>
          <w:b/>
          <w:sz w:val="20"/>
        </w:rPr>
        <w:t xml:space="preserve">("Tender" form). </w:t>
      </w:r>
    </w:p>
    <w:p w14:paraId="6F01D839" w14:textId="23BD8EA1" w:rsidR="00CC0AE9" w:rsidRPr="004976A7" w:rsidRDefault="00CC0AE9" w:rsidP="00BE508D">
      <w:pPr>
        <w:pStyle w:val="Akapitzlist"/>
        <w:numPr>
          <w:ilvl w:val="0"/>
          <w:numId w:val="13"/>
        </w:numPr>
        <w:spacing w:line="360" w:lineRule="auto"/>
        <w:jc w:val="both"/>
      </w:pPr>
      <w:r>
        <w:rPr>
          <w:rFonts w:ascii="Century Gothic" w:hAnsi="Century Gothic"/>
          <w:sz w:val="20"/>
        </w:rPr>
        <w:t>It is allowed for Contractors to apply jointly for the award of the Contract. If Contractors apply jointly for the award of the Contract, the Contracting Entity requires that entities acting jointly have an appropriate power to represent all Contractors in the contract award Procedure or to represent them in the Procedure and to conclude the Contract.</w:t>
      </w:r>
    </w:p>
    <w:p w14:paraId="34D1060F" w14:textId="6EFA0F20" w:rsidR="00CC0AE9" w:rsidRPr="004976A7"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The tender must be signed in accordance with the rules of representation of the Contractor. If the tender is submitted on behalf of the Contractor by an authorised representative, the representative should hold a relevant </w:t>
      </w:r>
      <w:r w:rsidR="00340E69">
        <w:rPr>
          <w:rFonts w:ascii="Century Gothic" w:hAnsi="Century Gothic"/>
          <w:sz w:val="20"/>
        </w:rPr>
        <w:t>authorisation</w:t>
      </w:r>
      <w:r>
        <w:rPr>
          <w:rFonts w:ascii="Century Gothic" w:hAnsi="Century Gothic"/>
          <w:sz w:val="20"/>
        </w:rPr>
        <w:t xml:space="preserve">. The content of the </w:t>
      </w:r>
      <w:r w:rsidR="00340E69">
        <w:rPr>
          <w:rFonts w:ascii="Century Gothic" w:hAnsi="Century Gothic"/>
          <w:sz w:val="20"/>
        </w:rPr>
        <w:t>authorisation</w:t>
      </w:r>
      <w:r>
        <w:rPr>
          <w:rFonts w:ascii="Century Gothic" w:hAnsi="Century Gothic"/>
          <w:sz w:val="20"/>
        </w:rPr>
        <w:t xml:space="preserve"> must explicitly specify the activities that the representative is authorised to perform. </w:t>
      </w:r>
    </w:p>
    <w:p w14:paraId="2763BF5D" w14:textId="77777777" w:rsidR="00E2799B" w:rsidRPr="00E2799B" w:rsidRDefault="00E2799B" w:rsidP="00E2799B">
      <w:pPr>
        <w:numPr>
          <w:ilvl w:val="0"/>
          <w:numId w:val="13"/>
        </w:numPr>
        <w:spacing w:line="360" w:lineRule="auto"/>
        <w:jc w:val="both"/>
        <w:rPr>
          <w:rFonts w:ascii="Century Gothic" w:hAnsi="Century Gothic" w:cs="Century Gothic"/>
          <w:sz w:val="20"/>
          <w:szCs w:val="20"/>
        </w:rPr>
      </w:pPr>
      <w:r>
        <w:rPr>
          <w:rFonts w:ascii="Century Gothic" w:hAnsi="Century Gothic"/>
          <w:sz w:val="20"/>
        </w:rPr>
        <w:t>The Contracting Entity permits submission of documents in the following electronic forms:</w:t>
      </w:r>
    </w:p>
    <w:p w14:paraId="38B125A8" w14:textId="77777777" w:rsidR="00E2799B"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a hard (paper) copy, bearing a wet signature and then processed into electronic form (document scan),</w:t>
      </w:r>
    </w:p>
    <w:p w14:paraId="7EFE73D2" w14:textId="7BDA6065" w:rsidR="00E2799B" w:rsidRPr="009864F0"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as a hard (paper) copy, then processed into electronic form (document scan) and signed with a qualified digital signature, advanced digital signature, a trusted signature or a personal signature,</w:t>
      </w:r>
    </w:p>
    <w:p w14:paraId="6F974CC8" w14:textId="3672F7D7" w:rsidR="00E2799B" w:rsidRPr="00E2799B"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sz w:val="20"/>
        </w:rPr>
        <w:t>prepared electronically and signed with a qualified digital signature, advanced digital signature, a trusted signature or a personal signature.</w:t>
      </w:r>
    </w:p>
    <w:p w14:paraId="51E230F5" w14:textId="0AF8385F" w:rsidR="00CC0AE9" w:rsidRPr="004976A7"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The tender should be prepared in a form ensuring its full legibility. </w:t>
      </w:r>
    </w:p>
    <w:p w14:paraId="6D7D1A17" w14:textId="11572C20" w:rsidR="00CC0AE9" w:rsidRPr="006E2BE6"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The tender and other documents for which the Contracting Entity has defined </w:t>
      </w:r>
      <w:r w:rsidR="00340E69">
        <w:rPr>
          <w:rFonts w:ascii="Century Gothic" w:hAnsi="Century Gothic"/>
          <w:sz w:val="20"/>
        </w:rPr>
        <w:t>templates</w:t>
      </w:r>
      <w:r>
        <w:rPr>
          <w:rFonts w:ascii="Century Gothic" w:hAnsi="Century Gothic"/>
          <w:sz w:val="20"/>
        </w:rPr>
        <w:t xml:space="preserve"> in the form of Appendices to the ToR, should be prepared in accordance with these </w:t>
      </w:r>
      <w:r w:rsidR="00340E69">
        <w:rPr>
          <w:rFonts w:ascii="Century Gothic" w:hAnsi="Century Gothic"/>
          <w:sz w:val="20"/>
        </w:rPr>
        <w:t>templates</w:t>
      </w:r>
      <w:r>
        <w:rPr>
          <w:rFonts w:ascii="Century Gothic" w:hAnsi="Century Gothic"/>
          <w:sz w:val="20"/>
        </w:rPr>
        <w:t xml:space="preserve"> in terms of content.</w:t>
      </w:r>
    </w:p>
    <w:p w14:paraId="735EE48E" w14:textId="08C7E90E" w:rsidR="00CC0AE9" w:rsidRPr="006E2BE6"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The Contracting entity recommends that pages of the tender containing any content be numbered consecutively, subject to the situation described in Section 10 below.</w:t>
      </w:r>
    </w:p>
    <w:p w14:paraId="1A7313B3" w14:textId="58447B06" w:rsidR="00CC0AE9" w:rsidRPr="006E2BE6" w:rsidRDefault="00CC0AE9" w:rsidP="00BE508D">
      <w:pPr>
        <w:numPr>
          <w:ilvl w:val="0"/>
          <w:numId w:val="13"/>
        </w:numPr>
        <w:spacing w:line="360" w:lineRule="auto"/>
        <w:ind w:left="357" w:hanging="357"/>
        <w:jc w:val="both"/>
        <w:rPr>
          <w:rFonts w:ascii="Century Gothic" w:hAnsi="Century Gothic" w:cs="Century Gothic"/>
          <w:sz w:val="20"/>
          <w:szCs w:val="20"/>
        </w:rPr>
      </w:pPr>
      <w:r>
        <w:rPr>
          <w:rFonts w:ascii="Century Gothic" w:hAnsi="Century Gothic"/>
          <w:sz w:val="20"/>
        </w:rPr>
        <w:t xml:space="preserve">Should the tender contain information constituting a business secret within the meaning of the provisions on counteracting unfair competition, the </w:t>
      </w:r>
      <w:r>
        <w:rPr>
          <w:rFonts w:ascii="Century Gothic" w:hAnsi="Century Gothic"/>
          <w:sz w:val="20"/>
          <w:u w:val="single"/>
        </w:rPr>
        <w:t>Contractor shall clearly stipulate</w:t>
      </w:r>
      <w:r>
        <w:rPr>
          <w:rFonts w:ascii="Century Gothic" w:hAnsi="Century Gothic"/>
          <w:sz w:val="20"/>
        </w:rPr>
        <w:t xml:space="preserve"> </w:t>
      </w:r>
      <w:r w:rsidRPr="00340E69">
        <w:rPr>
          <w:rFonts w:ascii="Century Gothic" w:hAnsi="Century Gothic"/>
          <w:sz w:val="20"/>
        </w:rPr>
        <w:t>which of the</w:t>
      </w:r>
      <w:r>
        <w:rPr>
          <w:rFonts w:ascii="Century Gothic" w:hAnsi="Century Gothic"/>
          <w:sz w:val="20"/>
        </w:rPr>
        <w:t xml:space="preserve"> information contained in the tender and/or documents submitted together with the tender constitute a business secret. The pages containing the above information shall be separated while maintaining continuity of page numbering in the tender or file while marking it with the attribute "Classified (contains business secrets)". The manner of attaching documents constituting business secrets is described in the "Bidder (Contractor/Supplier) Manual".</w:t>
      </w:r>
    </w:p>
    <w:p w14:paraId="4BC77419" w14:textId="77777777" w:rsidR="00CC0AE9" w:rsidRPr="006E2BE6" w:rsidRDefault="00CC0AE9" w:rsidP="00CC0AE9">
      <w:pPr>
        <w:spacing w:line="360" w:lineRule="auto"/>
        <w:ind w:left="360"/>
        <w:jc w:val="both"/>
        <w:rPr>
          <w:rFonts w:ascii="Century Gothic" w:hAnsi="Century Gothic" w:cs="Century Gothic"/>
          <w:sz w:val="20"/>
          <w:szCs w:val="20"/>
        </w:rPr>
      </w:pPr>
      <w:r>
        <w:rPr>
          <w:rFonts w:ascii="Century Gothic" w:hAnsi="Century Gothic"/>
          <w:sz w:val="20"/>
          <w:u w:val="single"/>
        </w:rPr>
        <w:lastRenderedPageBreak/>
        <w:t>Note:</w:t>
      </w:r>
      <w:r>
        <w:rPr>
          <w:rFonts w:ascii="Century Gothic" w:hAnsi="Century Gothic"/>
          <w:sz w:val="20"/>
        </w:rPr>
        <w:t xml:space="preserve"> </w:t>
      </w:r>
    </w:p>
    <w:p w14:paraId="3DBDB428" w14:textId="5630863F" w:rsidR="00CC0AE9" w:rsidRPr="006E2BE6" w:rsidRDefault="00CC0AE9" w:rsidP="00CC0AE9">
      <w:pPr>
        <w:spacing w:line="360" w:lineRule="auto"/>
        <w:ind w:left="357"/>
        <w:jc w:val="both"/>
        <w:rPr>
          <w:rFonts w:ascii="Century Gothic" w:hAnsi="Century Gothic" w:cs="Century Gothic"/>
          <w:sz w:val="20"/>
          <w:szCs w:val="20"/>
        </w:rPr>
      </w:pPr>
      <w:r>
        <w:rPr>
          <w:rFonts w:ascii="Century Gothic" w:hAnsi="Century Gothic"/>
          <w:sz w:val="20"/>
        </w:rPr>
        <w:t xml:space="preserve">The Contractor </w:t>
      </w:r>
      <w:r>
        <w:rPr>
          <w:rFonts w:ascii="Century Gothic" w:hAnsi="Century Gothic"/>
          <w:sz w:val="20"/>
          <w:u w:val="single"/>
        </w:rPr>
        <w:t>shall be obliged to demonstrate</w:t>
      </w:r>
      <w:r>
        <w:rPr>
          <w:rFonts w:ascii="Century Gothic" w:hAnsi="Century Gothic"/>
          <w:sz w:val="20"/>
        </w:rPr>
        <w:t xml:space="preserve"> that the proprietary information constitutes a business secret no later than at the time of submission to the Contracting Entity of the relevant document containing, in the Contractor’s opinion, such a secret. Failure to prove by the above deadline that the proprietary information constitutes a business secret shall result in the Contracting Entity's assumption that all documents are public and may be made available to third parties. All information contained in Appendix No. 3 to the ToR (the "Tender" form), which will be provided by the Contractor, cannot be classified as a business secret, and any possible reservations in this respect shall be null and void.</w:t>
      </w:r>
    </w:p>
    <w:p w14:paraId="04BC8100" w14:textId="77777777" w:rsidR="004A08F1" w:rsidRPr="00E00087" w:rsidRDefault="004A08F1" w:rsidP="004A08F1">
      <w:pPr>
        <w:numPr>
          <w:ilvl w:val="0"/>
          <w:numId w:val="13"/>
        </w:numPr>
        <w:spacing w:line="360" w:lineRule="auto"/>
        <w:jc w:val="both"/>
        <w:rPr>
          <w:rFonts w:ascii="Century Gothic" w:hAnsi="Century Gothic" w:cs="Century Gothic"/>
          <w:sz w:val="20"/>
          <w:szCs w:val="20"/>
        </w:rPr>
      </w:pPr>
      <w:r>
        <w:rPr>
          <w:rFonts w:ascii="Century Gothic" w:hAnsi="Century Gothic"/>
          <w:sz w:val="20"/>
        </w:rPr>
        <w:t>The tender shall be submitted as follows:</w:t>
      </w:r>
    </w:p>
    <w:p w14:paraId="4EAD7EB8" w14:textId="77777777" w:rsidR="004A08F1" w:rsidRDefault="004A08F1" w:rsidP="004A08F1">
      <w:pPr>
        <w:pStyle w:val="Akapitzlist"/>
        <w:numPr>
          <w:ilvl w:val="0"/>
          <w:numId w:val="67"/>
        </w:numPr>
        <w:spacing w:line="360" w:lineRule="auto"/>
        <w:jc w:val="both"/>
        <w:rPr>
          <w:rFonts w:ascii="Century Gothic" w:hAnsi="Century Gothic" w:cs="Century Gothic"/>
          <w:sz w:val="20"/>
          <w:szCs w:val="20"/>
        </w:rPr>
      </w:pPr>
      <w:r>
        <w:rPr>
          <w:rFonts w:ascii="Century Gothic" w:hAnsi="Century Gothic"/>
          <w:sz w:val="20"/>
        </w:rPr>
        <w:t>The Contractor shall commence the submission of the tender in the “Tender” tab and shall then complete all required fields and attach files, subject to Section 10 above.</w:t>
      </w:r>
    </w:p>
    <w:p w14:paraId="70E328A4" w14:textId="77777777" w:rsidR="004A08F1" w:rsidRDefault="004A08F1" w:rsidP="004A08F1">
      <w:pPr>
        <w:pStyle w:val="Akapitzlist"/>
        <w:numPr>
          <w:ilvl w:val="0"/>
          <w:numId w:val="67"/>
        </w:numPr>
        <w:spacing w:line="360" w:lineRule="auto"/>
        <w:jc w:val="both"/>
        <w:rPr>
          <w:rFonts w:ascii="Century Gothic" w:hAnsi="Century Gothic" w:cs="Century Gothic"/>
          <w:sz w:val="20"/>
          <w:szCs w:val="20"/>
        </w:rPr>
      </w:pPr>
      <w:r>
        <w:rPr>
          <w:rFonts w:ascii="Century Gothic" w:hAnsi="Century Gothic"/>
          <w:sz w:val="20"/>
        </w:rPr>
        <w:t>The tender is considered submitted after the clicking on the “Submit the tender” button.</w:t>
      </w:r>
    </w:p>
    <w:p w14:paraId="559B0693" w14:textId="1E9AFC66" w:rsidR="004A08F1" w:rsidRDefault="004A08F1" w:rsidP="004A08F1">
      <w:pPr>
        <w:pStyle w:val="Akapitzlist"/>
        <w:numPr>
          <w:ilvl w:val="0"/>
          <w:numId w:val="67"/>
        </w:numPr>
        <w:spacing w:line="360" w:lineRule="auto"/>
        <w:jc w:val="both"/>
        <w:rPr>
          <w:rFonts w:ascii="Century Gothic" w:hAnsi="Century Gothic" w:cs="Century Gothic"/>
          <w:sz w:val="20"/>
          <w:szCs w:val="20"/>
        </w:rPr>
      </w:pPr>
      <w:r>
        <w:rPr>
          <w:rFonts w:ascii="Century Gothic" w:hAnsi="Century Gothic"/>
          <w:sz w:val="20"/>
        </w:rPr>
        <w:t xml:space="preserve">The commands “Save and Return” and “Save Draft” allow the tender to be saved before submission. A saved tender is not a submitted tender. </w:t>
      </w:r>
    </w:p>
    <w:p w14:paraId="37581DEE" w14:textId="77777777" w:rsidR="004A08F1" w:rsidRDefault="004A08F1" w:rsidP="004A08F1">
      <w:pPr>
        <w:pStyle w:val="Akapitzlist"/>
        <w:numPr>
          <w:ilvl w:val="0"/>
          <w:numId w:val="67"/>
        </w:numPr>
        <w:spacing w:after="120" w:line="360" w:lineRule="auto"/>
        <w:ind w:left="1077" w:hanging="357"/>
        <w:jc w:val="both"/>
        <w:rPr>
          <w:rFonts w:ascii="Century Gothic" w:hAnsi="Century Gothic" w:cs="Century Gothic"/>
          <w:sz w:val="20"/>
          <w:szCs w:val="20"/>
        </w:rPr>
      </w:pPr>
      <w:r>
        <w:rPr>
          <w:rFonts w:ascii="Century Gothic" w:hAnsi="Century Gothic"/>
          <w:sz w:val="20"/>
        </w:rPr>
        <w:t>When saving or submitting the tender, an encryption password must be established.</w:t>
      </w:r>
    </w:p>
    <w:p w14:paraId="50DCA998" w14:textId="5115909A" w:rsidR="004A08F1" w:rsidRDefault="004A08F1" w:rsidP="002F54AB">
      <w:pPr>
        <w:spacing w:after="120" w:line="360" w:lineRule="auto"/>
        <w:ind w:firstLine="357"/>
        <w:jc w:val="both"/>
        <w:rPr>
          <w:rFonts w:ascii="Century Gothic" w:hAnsi="Century Gothic" w:cs="Century Gothic"/>
          <w:sz w:val="20"/>
          <w:szCs w:val="20"/>
        </w:rPr>
      </w:pPr>
      <w:r>
        <w:rPr>
          <w:rFonts w:ascii="Century Gothic" w:hAnsi="Century Gothic"/>
          <w:sz w:val="20"/>
        </w:rPr>
        <w:t>The method for submitting tenders is contained in the “Bidder (Contractor/Supplier) Manual”.</w:t>
      </w:r>
    </w:p>
    <w:p w14:paraId="31B52A8A" w14:textId="18A36EC1" w:rsidR="00CC0AE9" w:rsidRPr="006E2BE6"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Any changes to the tender content (corrections, crossings out, additions) should be initialled or signed by the Contractor, otherwise they may not be taken into consideration by the Contracting Entity.</w:t>
      </w:r>
    </w:p>
    <w:p w14:paraId="0E2DB8F7" w14:textId="0DDC804F" w:rsidR="00CC0AE9" w:rsidRPr="006E2BE6"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 xml:space="preserve">It is inadmissible for the Contractor to make changes to the content of the submitted </w:t>
      </w:r>
      <w:r w:rsidR="00E91EAD">
        <w:rPr>
          <w:rFonts w:ascii="Century Gothic" w:hAnsi="Century Gothic"/>
          <w:sz w:val="20"/>
        </w:rPr>
        <w:t>tender</w:t>
      </w:r>
      <w:r>
        <w:rPr>
          <w:rFonts w:ascii="Century Gothic" w:hAnsi="Century Gothic"/>
          <w:sz w:val="20"/>
        </w:rPr>
        <w:t xml:space="preserve"> via the Procurement Portal</w:t>
      </w:r>
      <w:r w:rsidR="000D7519">
        <w:rPr>
          <w:rFonts w:ascii="Century Gothic" w:hAnsi="Century Gothic"/>
          <w:sz w:val="20"/>
        </w:rPr>
        <w:t>, after the deadline for tender submission unless the Contracting Entity gives its consent.</w:t>
      </w:r>
      <w:r>
        <w:rPr>
          <w:rFonts w:ascii="Century Gothic" w:hAnsi="Century Gothic"/>
          <w:sz w:val="20"/>
        </w:rPr>
        <w:t xml:space="preserve"> Section 11.4) above shall apply mutatis mutandis to the amendment or withdrawal of the tender. The method for withdrawing or amending a tender is described in the “Bidder (Contractor/Supplier) Manual”.</w:t>
      </w:r>
    </w:p>
    <w:p w14:paraId="5E23E300" w14:textId="24C1FE96" w:rsidR="00CC0AE9" w:rsidRPr="004976A7" w:rsidRDefault="00CC0AE9" w:rsidP="00BE508D">
      <w:pPr>
        <w:numPr>
          <w:ilvl w:val="0"/>
          <w:numId w:val="13"/>
        </w:numPr>
        <w:spacing w:line="360" w:lineRule="auto"/>
        <w:jc w:val="both"/>
        <w:rPr>
          <w:rFonts w:ascii="Century Gothic" w:hAnsi="Century Gothic" w:cs="Century Gothic"/>
          <w:sz w:val="20"/>
          <w:szCs w:val="20"/>
        </w:rPr>
      </w:pPr>
      <w:r>
        <w:rPr>
          <w:rFonts w:ascii="Century Gothic" w:hAnsi="Century Gothic"/>
          <w:sz w:val="20"/>
        </w:rPr>
        <w:t>Prior to the expiry of the deadline for submission of tenders, the Contractor may withdraw the tender or amend the submitted tender. Information on the tender withdrawal or amendment should be delivered by the Contractor to the Contracting Entity before the deadline for submission of tenders in the manner permitted by the Contracting Entity for tender submission. The statement on the tender withdrawal or amendments should be explicit.</w:t>
      </w:r>
    </w:p>
    <w:p w14:paraId="21C86047" w14:textId="77777777" w:rsidR="00CC0AE9" w:rsidRPr="004976A7" w:rsidRDefault="00CC0AE9" w:rsidP="00BE508D">
      <w:pPr>
        <w:numPr>
          <w:ilvl w:val="0"/>
          <w:numId w:val="13"/>
        </w:numPr>
        <w:spacing w:line="360" w:lineRule="auto"/>
        <w:jc w:val="both"/>
        <w:rPr>
          <w:rFonts w:ascii="Century Gothic" w:hAnsi="Century Gothic" w:cs="Century Gothic"/>
          <w:b/>
          <w:sz w:val="20"/>
          <w:szCs w:val="20"/>
        </w:rPr>
      </w:pPr>
      <w:r>
        <w:rPr>
          <w:rFonts w:ascii="Century Gothic" w:hAnsi="Century Gothic"/>
          <w:sz w:val="20"/>
        </w:rPr>
        <w:t>All costs related to the tender preparation, submission and withdrawal shall be borne by the Contractor.</w:t>
      </w:r>
      <w:r>
        <w:rPr>
          <w:rFonts w:ascii="Century Gothic" w:hAnsi="Century Gothic"/>
          <w:b/>
          <w:sz w:val="20"/>
        </w:rPr>
        <w:t xml:space="preserve"> </w:t>
      </w:r>
    </w:p>
    <w:p w14:paraId="69DAD3B2" w14:textId="0D7069C9" w:rsidR="00E2799B" w:rsidRPr="00E2799B" w:rsidRDefault="00F051CB" w:rsidP="00E2799B">
      <w:pPr>
        <w:numPr>
          <w:ilvl w:val="0"/>
          <w:numId w:val="13"/>
        </w:numPr>
        <w:spacing w:line="360" w:lineRule="auto"/>
        <w:jc w:val="both"/>
        <w:rPr>
          <w:rFonts w:ascii="Century Gothic" w:hAnsi="Century Gothic" w:cs="Century Gothic"/>
          <w:sz w:val="20"/>
          <w:szCs w:val="20"/>
        </w:rPr>
      </w:pPr>
      <w:r>
        <w:rPr>
          <w:rFonts w:ascii="Century Gothic" w:hAnsi="Century Gothic"/>
          <w:sz w:val="20"/>
        </w:rPr>
        <w:lastRenderedPageBreak/>
        <w:t xml:space="preserve">The Contracting Entity informs that the responsibility for any possible defects in the file(s) or submission of the tender in a format other than specified in Section 3 above, resulting in the inability of the Contracting Entity to read the contents of the tender, shall be borne by the Contractor. </w:t>
      </w:r>
    </w:p>
    <w:p w14:paraId="7FDCF628" w14:textId="77777777" w:rsidR="00CC0AE9" w:rsidRPr="004976A7" w:rsidRDefault="00CC0AE9" w:rsidP="00CC0AE9">
      <w:pPr>
        <w:spacing w:line="360" w:lineRule="auto"/>
        <w:jc w:val="both"/>
        <w:rPr>
          <w:rFonts w:ascii="Century Gothic" w:hAnsi="Century Gothic" w:cs="Century Gothic"/>
          <w:sz w:val="20"/>
          <w:szCs w:val="20"/>
        </w:rPr>
      </w:pPr>
    </w:p>
    <w:p w14:paraId="5ADC5191" w14:textId="77777777" w:rsidR="00CC0AE9" w:rsidRPr="003B4DE1"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PLACE AND DEADLINE FOR TENDER SUBMISSION</w:t>
      </w:r>
    </w:p>
    <w:p w14:paraId="51321D63" w14:textId="69FC27D4" w:rsidR="0007758F" w:rsidRPr="003B4DE1" w:rsidRDefault="0007758F" w:rsidP="00BE508D">
      <w:pPr>
        <w:pStyle w:val="Nagwek6"/>
        <w:numPr>
          <w:ilvl w:val="0"/>
          <w:numId w:val="12"/>
        </w:numPr>
        <w:tabs>
          <w:tab w:val="num" w:pos="360"/>
        </w:tabs>
        <w:spacing w:before="0" w:after="0" w:line="360" w:lineRule="auto"/>
        <w:ind w:left="360"/>
        <w:jc w:val="both"/>
        <w:rPr>
          <w:rFonts w:ascii="Century Gothic" w:hAnsi="Century Gothic" w:cs="Century Gothic"/>
          <w:bCs w:val="0"/>
          <w:kern w:val="144"/>
        </w:rPr>
      </w:pPr>
      <w:r>
        <w:rPr>
          <w:rFonts w:ascii="Century Gothic" w:hAnsi="Century Gothic"/>
        </w:rPr>
        <w:t>The deadline for submission of tenders is</w:t>
      </w:r>
      <w:r>
        <w:rPr>
          <w:rFonts w:ascii="Century Gothic" w:hAnsi="Century Gothic"/>
          <w:u w:val="single"/>
        </w:rPr>
        <w:t xml:space="preserve"> 21 July 202</w:t>
      </w:r>
      <w:r w:rsidR="00990F1D">
        <w:rPr>
          <w:rFonts w:ascii="Century Gothic" w:hAnsi="Century Gothic"/>
          <w:u w:val="single"/>
        </w:rPr>
        <w:t>3</w:t>
      </w:r>
      <w:r>
        <w:rPr>
          <w:rFonts w:ascii="Century Gothic" w:hAnsi="Century Gothic"/>
          <w:u w:val="single"/>
        </w:rPr>
        <w:t xml:space="preserve"> at 12:00</w:t>
      </w:r>
    </w:p>
    <w:p w14:paraId="3D01B8AE" w14:textId="005F48A6" w:rsidR="00264D7D" w:rsidRPr="003B4DE1"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color w:val="FF0000"/>
        </w:rPr>
      </w:pPr>
      <w:bookmarkStart w:id="7" w:name="_Hlk19000559"/>
      <w:r>
        <w:rPr>
          <w:rFonts w:ascii="Century Gothic" w:hAnsi="Century Gothic"/>
          <w:color w:val="FF0000"/>
        </w:rPr>
        <w:t>Tenders must be submitted in an electronic form via the Procurement Portal.</w:t>
      </w:r>
    </w:p>
    <w:p w14:paraId="4FAE7BB9" w14:textId="77777777" w:rsidR="008123CE" w:rsidRPr="003B4DE1" w:rsidRDefault="008123CE" w:rsidP="008123CE">
      <w:pPr>
        <w:spacing w:line="360" w:lineRule="auto"/>
        <w:ind w:left="360"/>
        <w:jc w:val="both"/>
        <w:rPr>
          <w:rFonts w:ascii="Century Gothic" w:hAnsi="Century Gothic" w:cs="Century Gothic"/>
          <w:sz w:val="20"/>
          <w:szCs w:val="20"/>
        </w:rPr>
      </w:pPr>
      <w:r>
        <w:rPr>
          <w:rFonts w:ascii="Century Gothic" w:hAnsi="Century Gothic"/>
          <w:sz w:val="20"/>
        </w:rPr>
        <w:t>NOTE:</w:t>
      </w:r>
    </w:p>
    <w:p w14:paraId="0EABA7BF" w14:textId="546AA19D" w:rsidR="0093034B" w:rsidRPr="003B4DE1" w:rsidRDefault="008123CE" w:rsidP="00573752">
      <w:pPr>
        <w:spacing w:line="360" w:lineRule="auto"/>
        <w:ind w:left="360"/>
        <w:jc w:val="both"/>
        <w:rPr>
          <w:rFonts w:ascii="Century Gothic" w:hAnsi="Century Gothic" w:cs="Century Gothic"/>
          <w:sz w:val="20"/>
          <w:szCs w:val="20"/>
        </w:rPr>
      </w:pPr>
      <w:r>
        <w:rPr>
          <w:rFonts w:ascii="Century Gothic" w:hAnsi="Century Gothic"/>
          <w:sz w:val="20"/>
        </w:rPr>
        <w:t xml:space="preserve">The Contracting Entity allows submission of the tender in an electronic form to the e-mail address </w:t>
      </w:r>
      <w:hyperlink r:id="rId16" w:history="1">
        <w:r>
          <w:rPr>
            <w:rStyle w:val="Hipercze"/>
            <w:rFonts w:ascii="Century Gothic" w:hAnsi="Century Gothic"/>
            <w:sz w:val="20"/>
          </w:rPr>
          <w:t>mateusz.gorta@gaz-system.pl</w:t>
        </w:r>
      </w:hyperlink>
      <w:r>
        <w:rPr>
          <w:rStyle w:val="Hipercze"/>
          <w:rFonts w:ascii="Century Gothic" w:hAnsi="Century Gothic"/>
          <w:color w:val="auto"/>
          <w:sz w:val="20"/>
          <w:u w:val="none"/>
        </w:rPr>
        <w:t>, wh</w:t>
      </w:r>
      <w:r w:rsidR="00711ADA">
        <w:rPr>
          <w:rStyle w:val="Hipercze"/>
          <w:rFonts w:ascii="Century Gothic" w:hAnsi="Century Gothic"/>
          <w:color w:val="auto"/>
          <w:sz w:val="20"/>
          <w:u w:val="none"/>
        </w:rPr>
        <w:t>ile</w:t>
      </w:r>
      <w:r>
        <w:rPr>
          <w:rStyle w:val="Hipercze"/>
          <w:rFonts w:ascii="Century Gothic" w:hAnsi="Century Gothic"/>
          <w:color w:val="auto"/>
          <w:sz w:val="20"/>
          <w:u w:val="none"/>
        </w:rPr>
        <w:t xml:space="preserve"> </w:t>
      </w:r>
      <w:r>
        <w:rPr>
          <w:rFonts w:ascii="Century Gothic" w:hAnsi="Century Gothic"/>
          <w:sz w:val="20"/>
        </w:rPr>
        <w:t xml:space="preserve">submitting tenders in this manner shall be possible </w:t>
      </w:r>
      <w:r>
        <w:rPr>
          <w:rFonts w:ascii="Century Gothic" w:hAnsi="Century Gothic"/>
          <w:sz w:val="20"/>
          <w:u w:val="single"/>
        </w:rPr>
        <w:t>solely in the event the Procurement Portal is unavailable</w:t>
      </w:r>
      <w:r>
        <w:rPr>
          <w:rFonts w:ascii="Century Gothic" w:hAnsi="Century Gothic"/>
          <w:sz w:val="20"/>
        </w:rPr>
        <w:t>. When submitting the tender to the indicated e-mail address, the Contractor is obliged to prove that the unavailability of the Procurement Portal is due to reasons beyond the Contractor's control</w:t>
      </w:r>
      <w:bookmarkEnd w:id="7"/>
      <w:r>
        <w:rPr>
          <w:rFonts w:ascii="Century Gothic" w:hAnsi="Century Gothic"/>
          <w:sz w:val="20"/>
        </w:rPr>
        <w:t>.</w:t>
      </w:r>
    </w:p>
    <w:p w14:paraId="6ECC5562" w14:textId="5F1B9A05" w:rsidR="00CC0AE9" w:rsidRPr="004976A7"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b w:val="0"/>
          <w:bCs w:val="0"/>
          <w:kern w:val="144"/>
        </w:rPr>
      </w:pPr>
      <w:r>
        <w:rPr>
          <w:rFonts w:ascii="Century Gothic" w:hAnsi="Century Gothic"/>
          <w:b w:val="0"/>
        </w:rPr>
        <w:t>The opening of tenders is confidential and will take place immediately after the deadline for the submission of tenders.</w:t>
      </w:r>
    </w:p>
    <w:p w14:paraId="2FF484AB" w14:textId="77777777" w:rsidR="00CC0AE9" w:rsidRPr="004976A7"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b w:val="0"/>
          <w:kern w:val="144"/>
        </w:rPr>
      </w:pPr>
      <w:r>
        <w:rPr>
          <w:rFonts w:ascii="Century Gothic" w:hAnsi="Century Gothic"/>
          <w:b w:val="0"/>
        </w:rPr>
        <w:t>If the tender is submitted after the deadline for submission of tenders, the Contracting Entity shall immediately notify the Contractor that the tender was submitted after the deadline.</w:t>
      </w:r>
    </w:p>
    <w:p w14:paraId="52925588" w14:textId="77777777" w:rsidR="00CC0AE9" w:rsidRPr="004976A7" w:rsidRDefault="00CC0AE9" w:rsidP="00CC0AE9">
      <w:pPr>
        <w:spacing w:line="360" w:lineRule="auto"/>
      </w:pPr>
    </w:p>
    <w:p w14:paraId="52E83233"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bookmarkStart w:id="8" w:name="_Hlk92293878"/>
      <w:r>
        <w:rPr>
          <w:rFonts w:ascii="Century Gothic" w:hAnsi="Century Gothic"/>
          <w:b/>
          <w:sz w:val="20"/>
        </w:rPr>
        <w:t>DESCRIPTION OF PRICE CALCULATION METHOD</w:t>
      </w:r>
    </w:p>
    <w:bookmarkEnd w:id="8"/>
    <w:p w14:paraId="30DAA8AB" w14:textId="77748B4E" w:rsidR="00CC0AE9" w:rsidRPr="003B4DE1" w:rsidRDefault="00CC0AE9" w:rsidP="00BE508D">
      <w:pPr>
        <w:numPr>
          <w:ilvl w:val="2"/>
          <w:numId w:val="11"/>
        </w:numPr>
        <w:tabs>
          <w:tab w:val="clear" w:pos="2340"/>
          <w:tab w:val="num" w:pos="357"/>
          <w:tab w:val="left" w:pos="540"/>
        </w:tabs>
        <w:spacing w:line="360" w:lineRule="auto"/>
        <w:ind w:left="357" w:hanging="357"/>
        <w:jc w:val="both"/>
        <w:rPr>
          <w:rFonts w:ascii="Century Gothic" w:hAnsi="Century Gothic" w:cs="Century Gothic"/>
          <w:bCs/>
          <w:sz w:val="20"/>
          <w:szCs w:val="20"/>
        </w:rPr>
      </w:pPr>
      <w:r>
        <w:rPr>
          <w:rFonts w:ascii="Century Gothic" w:hAnsi="Century Gothic"/>
          <w:sz w:val="20"/>
        </w:rPr>
        <w:t>The tender prices must be provided in Polish zloty (PLN) as net and gross amounts, separately showing the VAT amounts (net + VAT = gross) calculated in compliance with the applicable regulations. The Contractor shall specify the tender prices for the performance of the Subject of the Contract with the accuracy to the second decimal place as specified in the “Tender” form (</w:t>
      </w:r>
      <w:r>
        <w:rPr>
          <w:rFonts w:ascii="Century Gothic" w:hAnsi="Century Gothic"/>
          <w:b/>
          <w:sz w:val="20"/>
        </w:rPr>
        <w:t>Appendix 3 to the ToR</w:t>
      </w:r>
      <w:r>
        <w:rPr>
          <w:rFonts w:ascii="Century Gothic" w:hAnsi="Century Gothic"/>
          <w:sz w:val="20"/>
        </w:rPr>
        <w:t>).</w:t>
      </w:r>
    </w:p>
    <w:p w14:paraId="4F856F4D" w14:textId="77777777" w:rsidR="00CC0AE9" w:rsidRPr="004976A7" w:rsidRDefault="00CC0AE9" w:rsidP="00BE508D">
      <w:pPr>
        <w:numPr>
          <w:ilvl w:val="2"/>
          <w:numId w:val="11"/>
        </w:numPr>
        <w:tabs>
          <w:tab w:val="clear" w:pos="2340"/>
          <w:tab w:val="left" w:pos="142"/>
          <w:tab w:val="num" w:pos="357"/>
          <w:tab w:val="left" w:pos="426"/>
          <w:tab w:val="left" w:pos="540"/>
        </w:tabs>
        <w:suppressAutoHyphens/>
        <w:spacing w:line="360" w:lineRule="auto"/>
        <w:ind w:left="357" w:hanging="357"/>
        <w:jc w:val="both"/>
        <w:rPr>
          <w:rFonts w:ascii="Century Gothic" w:hAnsi="Century Gothic" w:cs="Century Gothic"/>
          <w:sz w:val="20"/>
          <w:szCs w:val="20"/>
          <w:u w:val="single"/>
        </w:rPr>
      </w:pPr>
      <w:r>
        <w:rPr>
          <w:rFonts w:ascii="Century Gothic" w:hAnsi="Century Gothic"/>
          <w:sz w:val="20"/>
          <w:u w:val="single"/>
        </w:rPr>
        <w:t xml:space="preserve">The prices contained in the " Tender" form shall be lump-sum values, including all costs and components </w:t>
      </w:r>
      <w:r>
        <w:rPr>
          <w:rFonts w:ascii="Century Gothic" w:hAnsi="Century Gothic"/>
          <w:sz w:val="20"/>
        </w:rPr>
        <w:t xml:space="preserve">related to the performance of the Subject of the Contract and the conditions stipulated by the Contracting Entity. </w:t>
      </w:r>
    </w:p>
    <w:p w14:paraId="4D0BCC3E" w14:textId="77777777" w:rsidR="00CC0AE9" w:rsidRPr="005354C4"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rPr>
      </w:pPr>
      <w:r>
        <w:rPr>
          <w:rFonts w:ascii="Century Gothic" w:hAnsi="Century Gothic"/>
          <w:sz w:val="20"/>
        </w:rPr>
        <w:t>The tender prices shall not change throughout the validity period of the tender (shall remain binding).</w:t>
      </w:r>
    </w:p>
    <w:p w14:paraId="58A7363F" w14:textId="796A3CA0" w:rsidR="00CC0AE9" w:rsidRPr="005354C4"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rPr>
      </w:pPr>
      <w:r>
        <w:rPr>
          <w:rFonts w:ascii="Century Gothic" w:hAnsi="Century Gothic"/>
          <w:sz w:val="20"/>
        </w:rPr>
        <w:t>Settlements between the Contracting Entity and the Contractor shall be made in PLN.</w:t>
      </w:r>
    </w:p>
    <w:p w14:paraId="21D8F2EB" w14:textId="430194FB" w:rsidR="00CC0AE9" w:rsidRPr="00300E4F"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u w:val="single"/>
        </w:rPr>
      </w:pPr>
      <w:r>
        <w:rPr>
          <w:rFonts w:ascii="Century Gothic" w:hAnsi="Century Gothic"/>
          <w:sz w:val="20"/>
        </w:rPr>
        <w:t xml:space="preserve">If the Contractor’s registered office or a place of residence is located outside Poland and if, under the separate regulations, the Contractor is not obliged to pay the value added tax in Poland, the Contractor shall indicate only a net price in its tender (i.e. exclusive of the value added tax). </w:t>
      </w:r>
    </w:p>
    <w:p w14:paraId="420DCC41" w14:textId="521A7601" w:rsidR="00EA00FF" w:rsidRPr="00EF5505" w:rsidRDefault="00EA00FF" w:rsidP="00EF5505">
      <w:pPr>
        <w:numPr>
          <w:ilvl w:val="2"/>
          <w:numId w:val="11"/>
        </w:numPr>
        <w:tabs>
          <w:tab w:val="clear" w:pos="2340"/>
        </w:tabs>
        <w:suppressAutoHyphens/>
        <w:spacing w:line="360" w:lineRule="auto"/>
        <w:ind w:left="357" w:hanging="357"/>
        <w:jc w:val="both"/>
        <w:rPr>
          <w:rFonts w:ascii="Century Gothic" w:hAnsi="Century Gothic" w:cs="Century Gothic"/>
          <w:sz w:val="20"/>
          <w:szCs w:val="20"/>
          <w:u w:val="single"/>
        </w:rPr>
      </w:pPr>
      <w:bookmarkStart w:id="9" w:name="_Hlk92293902"/>
      <w:r>
        <w:rPr>
          <w:rFonts w:ascii="Century Gothic" w:hAnsi="Century Gothic"/>
          <w:sz w:val="20"/>
          <w:u w:val="single"/>
        </w:rPr>
        <w:lastRenderedPageBreak/>
        <w:t>If a tender is submitted, the selection of which would lead to the creation of a tax obligation for the Contracting Entity pursuant to the provisions regarding the VAT, the Contractor is obliged to:</w:t>
      </w:r>
    </w:p>
    <w:p w14:paraId="2661A8E4" w14:textId="7C7FD473"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inform the Contracting Entity that the selection of its tender will result in a tax obligation for the Contracting Entity</w:t>
      </w:r>
      <w:r w:rsidR="00711ADA">
        <w:rPr>
          <w:rFonts w:ascii="Century Gothic" w:hAnsi="Century Gothic"/>
          <w:sz w:val="20"/>
          <w:u w:val="single"/>
        </w:rPr>
        <w:t>,</w:t>
      </w:r>
    </w:p>
    <w:p w14:paraId="0B98ED0D" w14:textId="3DA633CC"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indicate the name (type) of the goods or services, the supply or provision of which will result in the creation of a tax obligation</w:t>
      </w:r>
      <w:r w:rsidR="00711ADA">
        <w:rPr>
          <w:rFonts w:ascii="Century Gothic" w:hAnsi="Century Gothic"/>
          <w:sz w:val="20"/>
          <w:u w:val="single"/>
        </w:rPr>
        <w:t>,</w:t>
      </w:r>
    </w:p>
    <w:p w14:paraId="04CAC45F" w14:textId="11B0E077"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indicate the value of the goods or services subject to tax obligation for the Contracting Entity, without the amount of the tax</w:t>
      </w:r>
      <w:r w:rsidR="00711ADA">
        <w:rPr>
          <w:rFonts w:ascii="Century Gothic" w:hAnsi="Century Gothic"/>
          <w:sz w:val="20"/>
          <w:u w:val="single"/>
        </w:rPr>
        <w:t>,</w:t>
      </w:r>
    </w:p>
    <w:p w14:paraId="71DC3046" w14:textId="77777777" w:rsidR="00EA00FF" w:rsidRP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Pr>
          <w:rFonts w:ascii="Century Gothic" w:hAnsi="Century Gothic"/>
          <w:sz w:val="20"/>
          <w:u w:val="single"/>
        </w:rPr>
        <w:t>indicate the value added tax rate which, to the Contractor’s knowledge, shall apply.</w:t>
      </w:r>
    </w:p>
    <w:bookmarkEnd w:id="9"/>
    <w:p w14:paraId="1AEBE7A8" w14:textId="77777777" w:rsidR="00CC0AE9" w:rsidRPr="004976A7" w:rsidRDefault="00CC0AE9" w:rsidP="003B4DE1">
      <w:pPr>
        <w:tabs>
          <w:tab w:val="left" w:pos="540"/>
        </w:tabs>
        <w:spacing w:line="360" w:lineRule="auto"/>
        <w:jc w:val="both"/>
        <w:rPr>
          <w:rFonts w:ascii="Century Gothic" w:hAnsi="Century Gothic" w:cs="Century Gothic"/>
          <w:b/>
          <w:bCs/>
          <w:sz w:val="20"/>
          <w:szCs w:val="20"/>
          <w:highlight w:val="yellow"/>
        </w:rPr>
      </w:pPr>
    </w:p>
    <w:p w14:paraId="6722DA0A"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DESCRIPTION OF THE CRITERIA GUIDING THE CONTRACTING ENTITY WHEN CHOOSING THE TENDER, INCLUDING THE WEIGHT OF THOSE CRITERIA AND THE MANNER OF THE TENDER EVALUATION</w:t>
      </w:r>
    </w:p>
    <w:p w14:paraId="7F2121A7" w14:textId="2AD8ADB0" w:rsidR="00213D7B" w:rsidRPr="00213D7B"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b/>
          <w:bCs/>
          <w:sz w:val="20"/>
          <w:szCs w:val="20"/>
        </w:rPr>
      </w:pPr>
      <w:r>
        <w:rPr>
          <w:rFonts w:ascii="Century Gothic" w:hAnsi="Century Gothic"/>
          <w:sz w:val="20"/>
        </w:rPr>
        <w:t>When selecting the most advantageous tender, the Contracting Entity shall consider the following criteri</w:t>
      </w:r>
      <w:r w:rsidR="00E91EAD">
        <w:rPr>
          <w:rFonts w:ascii="Century Gothic" w:hAnsi="Century Gothic"/>
          <w:sz w:val="20"/>
        </w:rPr>
        <w:t>a</w:t>
      </w:r>
      <w:r>
        <w:rPr>
          <w:rFonts w:ascii="Century Gothic" w:hAnsi="Century Gothic"/>
          <w:sz w:val="20"/>
        </w:rPr>
        <w:t>:</w:t>
      </w:r>
    </w:p>
    <w:p w14:paraId="6C52C2AB" w14:textId="77777777" w:rsidR="00213D7B" w:rsidRPr="004976A7" w:rsidRDefault="00213D7B" w:rsidP="00213D7B">
      <w:pPr>
        <w:suppressAutoHyphens/>
        <w:spacing w:line="360" w:lineRule="auto"/>
        <w:ind w:left="426"/>
        <w:jc w:val="both"/>
        <w:rPr>
          <w:rFonts w:ascii="Century Gothic" w:hAnsi="Century Gothic" w:cs="Century Gothic"/>
          <w:b/>
          <w:bCs/>
          <w:sz w:val="20"/>
          <w:szCs w:val="20"/>
        </w:rPr>
      </w:pPr>
    </w:p>
    <w:p w14:paraId="35150AB1" w14:textId="77777777" w:rsidR="00213D7B" w:rsidRPr="0019627F" w:rsidRDefault="00213D7B" w:rsidP="00213D7B">
      <w:pPr>
        <w:suppressAutoHyphens/>
        <w:spacing w:line="360" w:lineRule="auto"/>
        <w:ind w:left="426"/>
        <w:jc w:val="both"/>
        <w:rPr>
          <w:rFonts w:ascii="Century Gothic" w:hAnsi="Century Gothic"/>
          <w:sz w:val="20"/>
          <w:szCs w:val="20"/>
        </w:rPr>
      </w:pPr>
      <w:r>
        <w:rPr>
          <w:rFonts w:ascii="Century Gothic" w:hAnsi="Century Gothic"/>
          <w:b/>
          <w:sz w:val="20"/>
        </w:rPr>
        <w:t>Price – P</w:t>
      </w:r>
      <w:r>
        <w:rPr>
          <w:rFonts w:ascii="Century Gothic" w:hAnsi="Century Gothic"/>
          <w:b/>
          <w:sz w:val="20"/>
          <w:vertAlign w:val="subscript"/>
        </w:rPr>
        <w:t>c</w:t>
      </w:r>
      <w:r>
        <w:rPr>
          <w:rFonts w:ascii="Century Gothic" w:hAnsi="Century Gothic"/>
          <w:sz w:val="20"/>
        </w:rPr>
        <w:t xml:space="preserve"> – weighting 100%, which will be converted into points according to the following formula:</w:t>
      </w:r>
    </w:p>
    <w:p w14:paraId="0347E812" w14:textId="5BDE8B8B" w:rsidR="00213D7B" w:rsidRPr="00E91EAD" w:rsidRDefault="00990F1D" w:rsidP="00213D7B">
      <w:pPr>
        <w:suppressAutoHyphens/>
        <w:spacing w:line="360" w:lineRule="auto"/>
        <w:ind w:left="284" w:right="-144"/>
        <w:jc w:val="both"/>
        <w:rPr>
          <w:rFonts w:ascii="Century Gothic" w:eastAsia="SimSun" w:hAnsi="Century Gothic" w:cs="Arial"/>
          <w:b/>
          <w:sz w:val="18"/>
          <w:szCs w:val="18"/>
          <w:lang w:val="en-US"/>
        </w:rPr>
      </w:pPr>
      <m:oMathPara>
        <m:oMath>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c</m:t>
              </m:r>
            </m:sub>
          </m:sSub>
          <m:r>
            <m:rPr>
              <m:sty m:val="p"/>
            </m:rPr>
            <w:rPr>
              <w:rFonts w:ascii="Cambria Math" w:hAnsi="Cambria Math" w:cs="Arial"/>
              <w:sz w:val="18"/>
              <w:szCs w:val="18"/>
              <w:lang w:val="en-US"/>
            </w:rPr>
            <m:t>=</m:t>
          </m:r>
          <m:f>
            <m:fPr>
              <m:ctrlPr>
                <w:rPr>
                  <w:rFonts w:ascii="Cambria Math" w:hAnsi="Cambria Math" w:cs="Arial"/>
                  <w:sz w:val="18"/>
                  <w:szCs w:val="18"/>
                </w:rPr>
              </m:ctrlPr>
            </m:fPr>
            <m:num>
              <m:r>
                <m:rPr>
                  <m:sty m:val="p"/>
                </m:rPr>
                <w:rPr>
                  <w:rFonts w:ascii="Cambria Math" w:hAnsi="Cambria Math" w:cs="Arial"/>
                  <w:sz w:val="18"/>
                  <w:szCs w:val="18"/>
                  <w:lang w:val="en-US"/>
                </w:rPr>
                <m:t xml:space="preserve">Lowest </m:t>
              </m:r>
              <m:d>
                <m:dPr>
                  <m:ctrlPr>
                    <w:rPr>
                      <w:rFonts w:ascii="Cambria Math" w:hAnsi="Cambria Math" w:cs="Arial"/>
                      <w:sz w:val="18"/>
                      <w:szCs w:val="18"/>
                      <w:lang w:val="pl-PL"/>
                    </w:rPr>
                  </m:ctrlPr>
                </m:dPr>
                <m:e>
                  <m:r>
                    <m:rPr>
                      <m:sty m:val="p"/>
                    </m:rPr>
                    <w:rPr>
                      <w:rFonts w:ascii="Cambria Math" w:hAnsi="Cambria Math" w:cs="Arial"/>
                      <w:sz w:val="18"/>
                      <w:szCs w:val="18"/>
                      <w:lang w:val="en-US"/>
                    </w:rPr>
                    <m:t>among the submitted tenders</m:t>
                  </m:r>
                </m:e>
              </m:d>
              <m:r>
                <m:rPr>
                  <m:sty m:val="p"/>
                </m:rPr>
                <w:rPr>
                  <w:rFonts w:ascii="Cambria Math" w:hAnsi="Cambria Math" w:cs="Arial"/>
                  <w:sz w:val="18"/>
                  <w:szCs w:val="18"/>
                  <w:lang w:val="en-US"/>
                </w:rPr>
                <m:t xml:space="preserve"> sum of prices </m:t>
              </m:r>
              <m:d>
                <m:dPr>
                  <m:ctrlPr>
                    <w:rPr>
                      <w:rFonts w:ascii="Cambria Math" w:hAnsi="Cambria Math" w:cs="Arial"/>
                      <w:sz w:val="18"/>
                      <w:szCs w:val="18"/>
                    </w:rPr>
                  </m:ctrlPr>
                </m:dPr>
                <m:e>
                  <m:r>
                    <m:rPr>
                      <m:sty m:val="p"/>
                    </m:rPr>
                    <w:rPr>
                      <w:rFonts w:ascii="Cambria Math" w:hAnsi="Cambria Math" w:cs="Arial"/>
                      <w:sz w:val="18"/>
                      <w:szCs w:val="18"/>
                      <w:lang w:val="en-US"/>
                    </w:rPr>
                    <m:t xml:space="preserve">i.e. </m:t>
                  </m:r>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p</m:t>
                      </m:r>
                    </m:sub>
                  </m:sSub>
                  <m:r>
                    <m:rPr>
                      <m:sty m:val="p"/>
                    </m:rPr>
                    <w:rPr>
                      <w:rFonts w:ascii="Cambria Math" w:hAnsi="Cambria Math" w:cs="Arial"/>
                      <w:sz w:val="18"/>
                      <w:szCs w:val="18"/>
                      <w:lang w:val="en-US"/>
                    </w:rPr>
                    <m:t>+</m:t>
                  </m:r>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h</m:t>
                      </m:r>
                    </m:sub>
                  </m:sSub>
                </m:e>
              </m:d>
              <m:r>
                <m:rPr>
                  <m:sty m:val="p"/>
                </m:rPr>
                <w:rPr>
                  <w:rFonts w:ascii="Cambria Math" w:hAnsi="Cambria Math" w:cs="Arial"/>
                  <w:sz w:val="18"/>
                  <w:szCs w:val="18"/>
                  <w:lang w:val="en-US"/>
                </w:rPr>
                <m:t xml:space="preserve"> from item 5 of the "</m:t>
              </m:r>
              <m:r>
                <m:rPr>
                  <m:nor/>
                </m:rPr>
                <w:rPr>
                  <w:rFonts w:ascii="Cambria Math" w:hAnsi="Cambria Math" w:cs="Arial"/>
                  <w:sz w:val="18"/>
                  <w:szCs w:val="18"/>
                  <w:lang w:val="en-US"/>
                </w:rPr>
                <m:t xml:space="preserve">Tender" </m:t>
              </m:r>
              <m:r>
                <m:rPr>
                  <m:sty m:val="p"/>
                </m:rPr>
                <w:rPr>
                  <w:rFonts w:ascii="Cambria Math" w:hAnsi="Cambria Math" w:cs="Arial"/>
                  <w:sz w:val="18"/>
                  <w:szCs w:val="18"/>
                  <w:lang w:val="en-US"/>
                </w:rPr>
                <m:t>form</m:t>
              </m:r>
            </m:num>
            <m:den>
              <m:r>
                <m:rPr>
                  <m:sty m:val="p"/>
                </m:rPr>
                <w:rPr>
                  <w:rFonts w:ascii="Cambria Math" w:hAnsi="Cambria Math" w:cs="Arial"/>
                  <w:sz w:val="18"/>
                  <w:szCs w:val="18"/>
                  <w:lang w:val="en-US"/>
                </w:rPr>
                <m:t xml:space="preserve">Sum of prices </m:t>
              </m:r>
              <m:d>
                <m:dPr>
                  <m:ctrlPr>
                    <w:rPr>
                      <w:rFonts w:ascii="Cambria Math" w:hAnsi="Cambria Math" w:cs="Arial"/>
                      <w:sz w:val="18"/>
                      <w:szCs w:val="18"/>
                    </w:rPr>
                  </m:ctrlPr>
                </m:dPr>
                <m:e>
                  <m:r>
                    <m:rPr>
                      <m:sty m:val="p"/>
                    </m:rPr>
                    <w:rPr>
                      <w:rFonts w:ascii="Cambria Math" w:hAnsi="Cambria Math" w:cs="Arial"/>
                      <w:sz w:val="18"/>
                      <w:szCs w:val="18"/>
                      <w:lang w:val="en-US"/>
                    </w:rPr>
                    <m:t xml:space="preserve">i.e. </m:t>
                  </m:r>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p</m:t>
                      </m:r>
                    </m:sub>
                  </m:sSub>
                  <m:r>
                    <m:rPr>
                      <m:sty m:val="p"/>
                    </m:rPr>
                    <w:rPr>
                      <w:rFonts w:ascii="Cambria Math" w:hAnsi="Cambria Math" w:cs="Arial"/>
                      <w:sz w:val="18"/>
                      <w:szCs w:val="18"/>
                      <w:lang w:val="en-US"/>
                    </w:rPr>
                    <m:t>+</m:t>
                  </m:r>
                  <m:sSub>
                    <m:sSubPr>
                      <m:ctrlPr>
                        <w:rPr>
                          <w:rFonts w:ascii="Cambria Math" w:hAnsi="Cambria Math" w:cs="Arial"/>
                          <w:sz w:val="18"/>
                          <w:szCs w:val="18"/>
                        </w:rPr>
                      </m:ctrlPr>
                    </m:sSubPr>
                    <m:e>
                      <m:r>
                        <m:rPr>
                          <m:sty m:val="p"/>
                        </m:rPr>
                        <w:rPr>
                          <w:rFonts w:ascii="Cambria Math" w:hAnsi="Cambria Math" w:cs="Arial"/>
                          <w:sz w:val="18"/>
                          <w:szCs w:val="18"/>
                          <w:lang w:val="en-US"/>
                        </w:rPr>
                        <m:t>P</m:t>
                      </m:r>
                    </m:e>
                    <m:sub>
                      <m:r>
                        <m:rPr>
                          <m:sty m:val="p"/>
                        </m:rPr>
                        <w:rPr>
                          <w:rFonts w:ascii="Cambria Math" w:hAnsi="Cambria Math" w:cs="Arial"/>
                          <w:sz w:val="18"/>
                          <w:szCs w:val="18"/>
                          <w:lang w:val="en-US"/>
                        </w:rPr>
                        <m:t>h</m:t>
                      </m:r>
                    </m:sub>
                  </m:sSub>
                </m:e>
              </m:d>
              <m:r>
                <m:rPr>
                  <m:sty m:val="p"/>
                </m:rPr>
                <w:rPr>
                  <w:rFonts w:ascii="Cambria Math" w:hAnsi="Cambria Math" w:cs="Arial"/>
                  <w:sz w:val="18"/>
                  <w:szCs w:val="18"/>
                  <w:lang w:val="en-US"/>
                </w:rPr>
                <m:t xml:space="preserve"> from item 5 of the "</m:t>
              </m:r>
              <m:r>
                <m:rPr>
                  <m:nor/>
                </m:rPr>
                <w:rPr>
                  <w:rFonts w:ascii="Cambria Math" w:hAnsi="Cambria Math" w:cs="Arial"/>
                  <w:sz w:val="18"/>
                  <w:szCs w:val="18"/>
                  <w:lang w:val="en-US"/>
                </w:rPr>
                <m:t xml:space="preserve">Tender" </m:t>
              </m:r>
              <m:r>
                <m:rPr>
                  <m:sty m:val="p"/>
                </m:rPr>
                <w:rPr>
                  <w:rFonts w:ascii="Cambria Math" w:hAnsi="Cambria Math" w:cs="Arial"/>
                  <w:sz w:val="18"/>
                  <w:szCs w:val="18"/>
                  <w:lang w:val="en-US"/>
                </w:rPr>
                <m:t>form being evaluated</m:t>
              </m:r>
            </m:den>
          </m:f>
          <m:r>
            <m:rPr>
              <m:sty m:val="p"/>
            </m:rPr>
            <w:rPr>
              <w:rFonts w:ascii="Cambria Math" w:hAnsi="Cambria Math" w:cs="Arial"/>
              <w:sz w:val="18"/>
              <w:szCs w:val="18"/>
              <w:lang w:val="en-US"/>
            </w:rPr>
            <m:t>×100 points</m:t>
          </m:r>
        </m:oMath>
      </m:oMathPara>
    </w:p>
    <w:p w14:paraId="33EA1ABE" w14:textId="77777777" w:rsidR="00213D7B" w:rsidRPr="00E91EAD" w:rsidRDefault="00213D7B" w:rsidP="00213D7B">
      <w:pPr>
        <w:suppressAutoHyphens/>
        <w:spacing w:line="360" w:lineRule="auto"/>
        <w:ind w:left="426"/>
        <w:jc w:val="both"/>
        <w:rPr>
          <w:rFonts w:ascii="Century Gothic" w:hAnsi="Century Gothic" w:cs="Century Gothic"/>
          <w:sz w:val="20"/>
          <w:szCs w:val="20"/>
          <w:lang w:val="en-US" w:eastAsia="ar-SA"/>
        </w:rPr>
      </w:pPr>
    </w:p>
    <w:p w14:paraId="28A07D63" w14:textId="3710CA09" w:rsidR="00213D7B" w:rsidRPr="00213D7B" w:rsidRDefault="00213D7B" w:rsidP="00213D7B">
      <w:pPr>
        <w:suppressAutoHyphens/>
        <w:spacing w:line="360" w:lineRule="auto"/>
        <w:ind w:left="426"/>
        <w:jc w:val="both"/>
        <w:rPr>
          <w:rFonts w:ascii="Century Gothic" w:hAnsi="Century Gothic" w:cs="Century Gothic"/>
          <w:sz w:val="20"/>
          <w:szCs w:val="20"/>
        </w:rPr>
      </w:pPr>
      <w:r>
        <w:rPr>
          <w:rFonts w:ascii="Century Gothic" w:hAnsi="Century Gothic"/>
          <w:sz w:val="20"/>
        </w:rPr>
        <w:t>where:</w:t>
      </w:r>
    </w:p>
    <w:p w14:paraId="7816DD30" w14:textId="2F49431D" w:rsidR="00213D7B" w:rsidRPr="00901C77" w:rsidRDefault="00213D7B" w:rsidP="00213D7B">
      <w:pPr>
        <w:suppressAutoHyphens/>
        <w:spacing w:line="360" w:lineRule="auto"/>
        <w:ind w:left="426"/>
        <w:jc w:val="both"/>
        <w:rPr>
          <w:rFonts w:ascii="Century Gothic" w:hAnsi="Century Gothic" w:cs="Century Gothic"/>
          <w:b/>
          <w:bCs/>
          <w:sz w:val="20"/>
          <w:szCs w:val="20"/>
        </w:rPr>
      </w:pPr>
      <w:r>
        <w:rPr>
          <w:rFonts w:ascii="Century Gothic" w:hAnsi="Century Gothic"/>
          <w:b/>
          <w:sz w:val="20"/>
        </w:rPr>
        <w:t>P</w:t>
      </w:r>
      <w:r>
        <w:rPr>
          <w:rFonts w:ascii="Century Gothic" w:hAnsi="Century Gothic"/>
          <w:b/>
          <w:sz w:val="20"/>
          <w:vertAlign w:val="subscript"/>
        </w:rPr>
        <w:t>p</w:t>
      </w:r>
      <w:r>
        <w:rPr>
          <w:rFonts w:ascii="Century Gothic" w:hAnsi="Century Gothic"/>
          <w:b/>
          <w:sz w:val="20"/>
        </w:rPr>
        <w:t xml:space="preserve"> </w:t>
      </w:r>
      <w:r>
        <w:rPr>
          <w:rFonts w:ascii="Century Gothic" w:hAnsi="Century Gothic"/>
          <w:sz w:val="20"/>
        </w:rPr>
        <w:t>–</w:t>
      </w:r>
      <w:r>
        <w:rPr>
          <w:rFonts w:ascii="Century Gothic" w:hAnsi="Century Gothic"/>
          <w:b/>
          <w:sz w:val="20"/>
        </w:rPr>
        <w:t xml:space="preserve"> </w:t>
      </w:r>
      <w:r>
        <w:rPr>
          <w:rFonts w:ascii="Century Gothic" w:hAnsi="Century Gothic"/>
          <w:sz w:val="20"/>
        </w:rPr>
        <w:t>net unit price for each 1 (one) kWh off-taken by the Contracting Entity,</w:t>
      </w:r>
    </w:p>
    <w:p w14:paraId="3BDD2E62" w14:textId="77777777" w:rsidR="00213D7B" w:rsidRDefault="00213D7B" w:rsidP="00213D7B">
      <w:pPr>
        <w:suppressAutoHyphens/>
        <w:spacing w:line="360" w:lineRule="auto"/>
        <w:ind w:left="426"/>
        <w:jc w:val="both"/>
        <w:rPr>
          <w:rFonts w:ascii="Century Gothic" w:hAnsi="Century Gothic" w:cs="Century Gothic"/>
          <w:b/>
          <w:bCs/>
          <w:sz w:val="20"/>
          <w:szCs w:val="20"/>
          <w:lang w:eastAsia="ar-SA"/>
        </w:rPr>
      </w:pPr>
    </w:p>
    <w:p w14:paraId="203076BF" w14:textId="039C2CAA" w:rsidR="00213D7B" w:rsidRPr="006A40A8" w:rsidRDefault="00213D7B" w:rsidP="00213D7B">
      <w:pPr>
        <w:suppressAutoHyphens/>
        <w:spacing w:line="360" w:lineRule="auto"/>
        <w:ind w:left="426"/>
        <w:jc w:val="both"/>
        <w:rPr>
          <w:rFonts w:ascii="Century Gothic" w:hAnsi="Century Gothic" w:cs="Century Gothic"/>
          <w:sz w:val="20"/>
          <w:szCs w:val="20"/>
        </w:rPr>
      </w:pPr>
      <w:r>
        <w:rPr>
          <w:rFonts w:ascii="Century Gothic" w:hAnsi="Century Gothic"/>
          <w:b/>
          <w:sz w:val="20"/>
        </w:rPr>
        <w:t>P</w:t>
      </w:r>
      <w:r>
        <w:rPr>
          <w:rFonts w:ascii="Century Gothic" w:hAnsi="Century Gothic"/>
          <w:b/>
          <w:sz w:val="20"/>
          <w:vertAlign w:val="subscript"/>
        </w:rPr>
        <w:t>h</w:t>
      </w:r>
      <w:r>
        <w:rPr>
          <w:rFonts w:ascii="Century Gothic" w:hAnsi="Century Gothic"/>
          <w:b/>
          <w:sz w:val="20"/>
        </w:rPr>
        <w:t xml:space="preserve"> </w:t>
      </w:r>
      <w:r>
        <w:rPr>
          <w:rFonts w:ascii="Century Gothic" w:hAnsi="Century Gothic"/>
          <w:sz w:val="20"/>
        </w:rPr>
        <w:t>–</w:t>
      </w:r>
      <w:r>
        <w:rPr>
          <w:rFonts w:ascii="Century Gothic" w:hAnsi="Century Gothic"/>
          <w:b/>
          <w:sz w:val="20"/>
        </w:rPr>
        <w:t xml:space="preserve"> </w:t>
      </w:r>
      <w:r>
        <w:rPr>
          <w:rFonts w:ascii="Century Gothic" w:hAnsi="Century Gothic"/>
          <w:sz w:val="20"/>
        </w:rPr>
        <w:t>net price for each Gas Day when, during the term of the Contract, the Contractor does not deliver Gaseous Fuel to Branice Entry Point (ID 372414) due to deliveries provided by the Shippers (price for the readiness to perform the Subject of the Contract), in accordance with the provisions provided in the Draft Contract.</w:t>
      </w:r>
    </w:p>
    <w:p w14:paraId="1380E8AB" w14:textId="77777777" w:rsidR="00213D7B" w:rsidRDefault="00213D7B" w:rsidP="00213D7B">
      <w:pPr>
        <w:suppressAutoHyphens/>
        <w:spacing w:line="360" w:lineRule="auto"/>
        <w:ind w:left="426"/>
        <w:jc w:val="both"/>
        <w:rPr>
          <w:rFonts w:ascii="Century Gothic" w:hAnsi="Century Gothic" w:cs="Century Gothic"/>
          <w:sz w:val="20"/>
          <w:szCs w:val="20"/>
          <w:lang w:eastAsia="ar-SA"/>
        </w:rPr>
      </w:pPr>
    </w:p>
    <w:p w14:paraId="7E483E0C" w14:textId="3E02FBC1" w:rsidR="00213D7B" w:rsidRPr="004976A7"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sz w:val="20"/>
          <w:szCs w:val="20"/>
        </w:rPr>
      </w:pPr>
      <w:r>
        <w:rPr>
          <w:rFonts w:ascii="Century Gothic" w:hAnsi="Century Gothic"/>
          <w:sz w:val="20"/>
        </w:rPr>
        <w:t xml:space="preserve">For the purpose of tender evaluation, the Contracting Entity shall calculate the points awarded to Contractors to two decimal places, rounding off the values from the thousandths according to the rules of arithmetic. </w:t>
      </w:r>
    </w:p>
    <w:p w14:paraId="34814932" w14:textId="77777777" w:rsidR="00213D7B" w:rsidRPr="004976A7"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sz w:val="20"/>
          <w:szCs w:val="20"/>
        </w:rPr>
      </w:pPr>
      <w:r>
        <w:rPr>
          <w:rFonts w:ascii="Century Gothic" w:hAnsi="Century Gothic"/>
          <w:sz w:val="20"/>
        </w:rPr>
        <w:t>The Contracting Entity will consider the tender which scores the highest number of points to be the most advantageous.</w:t>
      </w:r>
    </w:p>
    <w:p w14:paraId="5EE1E04C" w14:textId="2AEC6D8E" w:rsidR="00213D7B" w:rsidRPr="0078208D" w:rsidRDefault="00213D7B" w:rsidP="00213D7B">
      <w:pPr>
        <w:numPr>
          <w:ilvl w:val="0"/>
          <w:numId w:val="22"/>
        </w:numPr>
        <w:tabs>
          <w:tab w:val="clear" w:pos="714"/>
        </w:tabs>
        <w:suppressAutoHyphens/>
        <w:spacing w:line="360" w:lineRule="auto"/>
        <w:ind w:left="426" w:hanging="426"/>
        <w:jc w:val="both"/>
        <w:rPr>
          <w:rFonts w:ascii="Century Gothic" w:hAnsi="Century Gothic" w:cs="Century Gothic"/>
          <w:sz w:val="20"/>
          <w:szCs w:val="20"/>
        </w:rPr>
      </w:pPr>
      <w:r>
        <w:rPr>
          <w:rFonts w:ascii="Century Gothic" w:hAnsi="Century Gothic"/>
          <w:sz w:val="20"/>
        </w:rPr>
        <w:lastRenderedPageBreak/>
        <w:t xml:space="preserve">The remaining tenders shall be ranked according to the number of points obtained. </w:t>
      </w:r>
    </w:p>
    <w:p w14:paraId="367234D7" w14:textId="199CEA62" w:rsidR="00692D9E" w:rsidRDefault="00692D9E" w:rsidP="00742876">
      <w:pPr>
        <w:numPr>
          <w:ilvl w:val="0"/>
          <w:numId w:val="22"/>
        </w:numPr>
        <w:tabs>
          <w:tab w:val="left" w:pos="1080"/>
        </w:tabs>
        <w:suppressAutoHyphens/>
        <w:spacing w:line="360" w:lineRule="auto"/>
        <w:ind w:left="357"/>
        <w:jc w:val="both"/>
        <w:rPr>
          <w:rFonts w:ascii="Century Gothic" w:hAnsi="Century Gothic" w:cs="Century Gothic"/>
          <w:sz w:val="20"/>
          <w:szCs w:val="20"/>
        </w:rPr>
      </w:pPr>
      <w:r>
        <w:rPr>
          <w:rFonts w:ascii="Century Gothic" w:hAnsi="Century Gothic"/>
          <w:sz w:val="20"/>
        </w:rPr>
        <w:t xml:space="preserve">If it is not possible to select the most advantageous tender due to the fact that two or more tenders present the same balance of price or cost and other tender evaluation criteria, the Contracting Entity shall select from among those tenders the tender which obtained the highest score in the criterion with the highest weight. If the tenders receive the same score for the criterion with the highest weight, the Contracting Entity shall choose the tender with the lowest price or the lowest cost. If it is not possible to select the tender in the manner referred to in the previous sentence, the Contracting Entity shall call upon the Contractors who submitted such tenders to submit additional tenders containing a new price or cost within the time limit specified by the Contracting </w:t>
      </w:r>
      <w:r w:rsidR="00711ADA">
        <w:rPr>
          <w:rFonts w:ascii="Century Gothic" w:hAnsi="Century Gothic"/>
          <w:sz w:val="20"/>
        </w:rPr>
        <w:t>Entity or</w:t>
      </w:r>
      <w:r>
        <w:rPr>
          <w:rFonts w:ascii="Century Gothic" w:hAnsi="Century Gothic"/>
          <w:sz w:val="20"/>
        </w:rPr>
        <w:t xml:space="preserve"> shall conduct another round of commercial negotiations referred to in Chapter XVII of the ToR. The Contracting entity shall inform the Contractors submitting additional tenders or with whom it plans to conduct the aforementioned negotiations that they may not offer prices higher than those offered in the previously submitted tenders.</w:t>
      </w:r>
    </w:p>
    <w:p w14:paraId="0B3CFCC3" w14:textId="77777777" w:rsidR="007414F4" w:rsidRPr="00742876" w:rsidRDefault="007414F4" w:rsidP="007414F4">
      <w:pPr>
        <w:tabs>
          <w:tab w:val="left" w:pos="1080"/>
        </w:tabs>
        <w:suppressAutoHyphens/>
        <w:spacing w:line="360" w:lineRule="auto"/>
        <w:jc w:val="both"/>
        <w:rPr>
          <w:rFonts w:ascii="Century Gothic" w:hAnsi="Century Gothic" w:cs="Century Gothic"/>
          <w:sz w:val="20"/>
          <w:szCs w:val="20"/>
        </w:rPr>
      </w:pPr>
    </w:p>
    <w:p w14:paraId="42645D32"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COMMERCIAL NEGOTIATIONS</w:t>
      </w:r>
    </w:p>
    <w:p w14:paraId="0A1B2821" w14:textId="1A237B09" w:rsidR="00A70994" w:rsidRPr="00A70994" w:rsidRDefault="00CC0AE9">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Pr>
          <w:rFonts w:ascii="Century Gothic" w:hAnsi="Century Gothic"/>
          <w:sz w:val="20"/>
        </w:rPr>
        <w:t>The Contracting Entity reserves the right to conduct commercial negotiations with respect to the tender evaluation criteria indicated in the ToR.</w:t>
      </w:r>
    </w:p>
    <w:p w14:paraId="1F581CA9" w14:textId="25305B28" w:rsidR="00CC0AE9" w:rsidRDefault="00A70994" w:rsidP="0052082E">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Pr>
          <w:rFonts w:ascii="Century Gothic" w:hAnsi="Century Gothic"/>
          <w:sz w:val="20"/>
        </w:rPr>
        <w:t xml:space="preserve">Should the Contracting Entity exercise the right to conduct commercial negotiations referred to in Section 1, </w:t>
      </w:r>
      <w:bookmarkStart w:id="10" w:name="_Hlk511292042"/>
      <w:r>
        <w:rPr>
          <w:rFonts w:ascii="Century Gothic" w:hAnsi="Century Gothic"/>
          <w:sz w:val="20"/>
        </w:rPr>
        <w:t xml:space="preserve">the Contracting Entity reserves the option to invite </w:t>
      </w:r>
      <w:r>
        <w:rPr>
          <w:rFonts w:ascii="Century Gothic" w:hAnsi="Century Gothic"/>
          <w:sz w:val="20"/>
          <w:u w:val="single"/>
        </w:rPr>
        <w:t xml:space="preserve">up to </w:t>
      </w:r>
      <w:bookmarkEnd w:id="10"/>
      <w:r>
        <w:rPr>
          <w:rFonts w:ascii="Century Gothic" w:hAnsi="Century Gothic"/>
          <w:sz w:val="20"/>
          <w:u w:val="single"/>
        </w:rPr>
        <w:t>three Contractors</w:t>
      </w:r>
      <w:r>
        <w:rPr>
          <w:rFonts w:ascii="Century Gothic" w:hAnsi="Century Gothic"/>
          <w:sz w:val="20"/>
        </w:rPr>
        <w:t xml:space="preserve">, whose tenders </w:t>
      </w:r>
      <w:r w:rsidR="00711ADA">
        <w:rPr>
          <w:rFonts w:ascii="Century Gothic" w:hAnsi="Century Gothic"/>
          <w:sz w:val="20"/>
        </w:rPr>
        <w:t>were</w:t>
      </w:r>
      <w:r>
        <w:rPr>
          <w:rFonts w:ascii="Century Gothic" w:hAnsi="Century Gothic"/>
          <w:sz w:val="20"/>
        </w:rPr>
        <w:t xml:space="preserve"> the most advantageous after the preliminary evaluation, to possible commercial negotiations.</w:t>
      </w:r>
    </w:p>
    <w:p w14:paraId="6CBD31CC" w14:textId="7DA21D7B" w:rsidR="0019627F" w:rsidRPr="0019627F" w:rsidRDefault="00DE3380" w:rsidP="0052082E">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Pr>
          <w:rFonts w:ascii="Century Gothic" w:hAnsi="Century Gothic"/>
          <w:b/>
          <w:sz w:val="20"/>
        </w:rPr>
        <w:t>Notwithstanding Sections 1 and 2, the Contracting Entity</w:t>
      </w:r>
      <w:r>
        <w:rPr>
          <w:rFonts w:ascii="Century Gothic" w:hAnsi="Century Gothic"/>
          <w:sz w:val="20"/>
        </w:rPr>
        <w:t xml:space="preserve"> reserves the option to conduct commercial negotiations relating to the terms and conditions of the Contract in order to increase its effectiveness as specified in the ToR. Thereupon, the Contracting Entity shall send an invitation to commercial negotiations and to improve the tender to </w:t>
      </w:r>
      <w:r>
        <w:rPr>
          <w:rFonts w:ascii="Century Gothic" w:hAnsi="Century Gothic"/>
          <w:sz w:val="20"/>
          <w:u w:val="single"/>
        </w:rPr>
        <w:t>all Contractors</w:t>
      </w:r>
      <w:r>
        <w:rPr>
          <w:rFonts w:ascii="Century Gothic" w:hAnsi="Century Gothic"/>
          <w:sz w:val="20"/>
        </w:rPr>
        <w:t xml:space="preserve"> participating in the non-public </w:t>
      </w:r>
      <w:r w:rsidR="006B0699">
        <w:rPr>
          <w:rFonts w:ascii="Century Gothic" w:hAnsi="Century Gothic"/>
          <w:sz w:val="20"/>
        </w:rPr>
        <w:t>contract award</w:t>
      </w:r>
      <w:r>
        <w:rPr>
          <w:rFonts w:ascii="Century Gothic" w:hAnsi="Century Gothic"/>
          <w:sz w:val="20"/>
        </w:rPr>
        <w:t xml:space="preserve"> Procedure, with the reservation that the update of the requirements referred to above may not lead to a change in the nature of the Contract.</w:t>
      </w:r>
    </w:p>
    <w:p w14:paraId="12503C8A" w14:textId="77777777" w:rsidR="00CC0AE9" w:rsidRPr="004976A7" w:rsidRDefault="00CC0AE9" w:rsidP="00CC0AE9">
      <w:pPr>
        <w:autoSpaceDE w:val="0"/>
        <w:autoSpaceDN w:val="0"/>
        <w:spacing w:line="360" w:lineRule="auto"/>
        <w:jc w:val="both"/>
        <w:rPr>
          <w:rFonts w:ascii="Century Gothic" w:hAnsi="Century Gothic" w:cs="Century Gothic"/>
          <w:strike/>
          <w:sz w:val="20"/>
          <w:szCs w:val="20"/>
          <w:highlight w:val="yellow"/>
        </w:rPr>
      </w:pPr>
    </w:p>
    <w:p w14:paraId="2B2F360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ELECTRONIC AUCTION</w:t>
      </w:r>
    </w:p>
    <w:p w14:paraId="4D377CDC" w14:textId="77777777" w:rsidR="00CC0AE9" w:rsidRPr="004976A7" w:rsidRDefault="00CC0AE9" w:rsidP="00CC0AE9">
      <w:pPr>
        <w:spacing w:line="360" w:lineRule="auto"/>
        <w:ind w:left="142"/>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anticipate</w:t>
      </w:r>
      <w:r>
        <w:rPr>
          <w:rFonts w:ascii="Century Gothic" w:hAnsi="Century Gothic"/>
          <w:sz w:val="20"/>
        </w:rPr>
        <w:t xml:space="preserve"> holding an electronic auction.</w:t>
      </w:r>
    </w:p>
    <w:p w14:paraId="64BDDC1C" w14:textId="77777777" w:rsidR="00CC0AE9" w:rsidRPr="004976A7" w:rsidRDefault="00CC0AE9" w:rsidP="00CC0AE9">
      <w:pPr>
        <w:pStyle w:val="Blockquote"/>
        <w:spacing w:before="0" w:after="0" w:line="360" w:lineRule="auto"/>
        <w:ind w:right="-2"/>
        <w:jc w:val="both"/>
        <w:rPr>
          <w:rFonts w:ascii="Century Gothic" w:hAnsi="Century Gothic" w:cs="Century Gothic"/>
          <w:kern w:val="144"/>
          <w:sz w:val="20"/>
          <w:szCs w:val="20"/>
        </w:rPr>
      </w:pPr>
    </w:p>
    <w:p w14:paraId="62B2165B"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 xml:space="preserve">INFORMATION ON FORMALITIES TO BE COMPLETED FOLLOWING TENDER SELECTION FOR THE PURPOSE OF CONCLUDING THE CONTRACT </w:t>
      </w:r>
    </w:p>
    <w:p w14:paraId="65108862" w14:textId="5E33D1D9"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lastRenderedPageBreak/>
        <w:t>The Contracting Entity shall select the most advantageous tender from among the non-rejected tenders on the basis of the tender evaluation criteria specified in the ToR.</w:t>
      </w:r>
    </w:p>
    <w:p w14:paraId="139D4DC8" w14:textId="050659E9"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After selecting the most advantageous tender, the Contracting Entity shall immediately notify:</w:t>
      </w:r>
    </w:p>
    <w:p w14:paraId="14BDB698" w14:textId="77777777"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all Contractors who submitted tenders – about the selection of the most advantageous tender, indicating the name and surname or company name and address of the Contractor whose tender was selected,</w:t>
      </w:r>
    </w:p>
    <w:p w14:paraId="4D129CE4" w14:textId="139196A0" w:rsidR="00CC0AE9" w:rsidRPr="004976A7" w:rsidRDefault="00562BCD"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 xml:space="preserve">upon a Contractor's request – about the position which </w:t>
      </w:r>
      <w:r w:rsidR="001C49C1">
        <w:rPr>
          <w:rFonts w:ascii="Century Gothic" w:hAnsi="Century Gothic"/>
          <w:sz w:val="20"/>
        </w:rPr>
        <w:t>its</w:t>
      </w:r>
      <w:r>
        <w:rPr>
          <w:rFonts w:ascii="Century Gothic" w:hAnsi="Century Gothic"/>
          <w:sz w:val="20"/>
        </w:rPr>
        <w:t xml:space="preserve"> tender gained in the tender ranking or the fact that the Contractor's tender was left without examination and evaluation in the case when the Contracting Entity exercises the right </w:t>
      </w:r>
      <w:r w:rsidR="001C49C1">
        <w:rPr>
          <w:rFonts w:ascii="Century Gothic" w:hAnsi="Century Gothic"/>
          <w:sz w:val="20"/>
        </w:rPr>
        <w:t>specified</w:t>
      </w:r>
      <w:r>
        <w:rPr>
          <w:rFonts w:ascii="Century Gothic" w:hAnsi="Century Gothic"/>
          <w:sz w:val="20"/>
        </w:rPr>
        <w:t xml:space="preserve"> in Chapter VII of the ToR,</w:t>
      </w:r>
    </w:p>
    <w:p w14:paraId="5E19AF18" w14:textId="77777777"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Contractors who were excluded from the procurement Procedure or whose tender was rejected – about the grounds for their exclusion or rejection of their tender,</w:t>
      </w:r>
    </w:p>
    <w:p w14:paraId="1A5F0483" w14:textId="20DF9DC5"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sz w:val="20"/>
        </w:rPr>
        <w:t xml:space="preserve">the Contractor whose tender was selected as the most advantageous – about the procedure for signing the procurement contract with the provision that the contract shall be </w:t>
      </w:r>
      <w:r w:rsidR="001C49C1">
        <w:rPr>
          <w:rFonts w:ascii="Century Gothic" w:hAnsi="Century Gothic"/>
          <w:sz w:val="20"/>
        </w:rPr>
        <w:t xml:space="preserve">deemed </w:t>
      </w:r>
      <w:r>
        <w:rPr>
          <w:rFonts w:ascii="Century Gothic" w:hAnsi="Century Gothic"/>
          <w:sz w:val="20"/>
        </w:rPr>
        <w:t>concluded upon its signing by both parties, and not upon the Contractor's notification of the selection of his tender.</w:t>
      </w:r>
    </w:p>
    <w:p w14:paraId="4A3CD26E" w14:textId="1B4F4657"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If the Contractor whose tender has been selected evades concluding the Contract, the Contracting Entity may select the most advantageous tender from among the remaining tenders without their re-evaluation.</w:t>
      </w:r>
    </w:p>
    <w:p w14:paraId="1A61B2AF" w14:textId="3EF1AB96" w:rsidR="00CC0AE9"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 xml:space="preserve">If a tender submitted by Contractors jointly competing for the Contract is selected, the Contracting Entity reserves the right to demand that the </w:t>
      </w:r>
      <w:r w:rsidR="001C49C1">
        <w:rPr>
          <w:rFonts w:ascii="Century Gothic" w:hAnsi="Century Gothic"/>
          <w:sz w:val="20"/>
        </w:rPr>
        <w:t>agreement</w:t>
      </w:r>
      <w:r>
        <w:rPr>
          <w:rFonts w:ascii="Century Gothic" w:hAnsi="Century Gothic"/>
          <w:sz w:val="20"/>
        </w:rPr>
        <w:t xml:space="preserve"> governing the cooperation of these Contractors be submitted before concluding the procurement Contract.</w:t>
      </w:r>
    </w:p>
    <w:p w14:paraId="056EDC3B" w14:textId="22A46733" w:rsidR="009B4B92" w:rsidRPr="004976A7" w:rsidRDefault="009B4B92"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Pr>
          <w:rFonts w:ascii="Century Gothic" w:hAnsi="Century Gothic"/>
          <w:sz w:val="20"/>
        </w:rPr>
        <w:t xml:space="preserve">If the procurement Contract is signed on behalf of the Contractor by an authorised representative, such a representative must have an appropriate power to represent, unless the right to sign the contract arises from other documents submitted in the Procedure. The document authorising to sign the contract must be submitted, </w:t>
      </w:r>
      <w:r>
        <w:rPr>
          <w:rFonts w:ascii="Century Gothic" w:hAnsi="Century Gothic"/>
          <w:sz w:val="20"/>
          <w:u w:val="single"/>
        </w:rPr>
        <w:t>not later than before signing the Contract</w:t>
      </w:r>
      <w:r>
        <w:rPr>
          <w:rFonts w:ascii="Century Gothic" w:hAnsi="Century Gothic"/>
          <w:sz w:val="20"/>
        </w:rPr>
        <w:t>, in original copy, a copy certified by a notary public to be true to the original copy, a notary public's copy or extract of the document or a copy certified by the principal to be a true copy of the original.</w:t>
      </w:r>
    </w:p>
    <w:p w14:paraId="67B89A47" w14:textId="77777777" w:rsidR="00CC0AE9" w:rsidRPr="004976A7" w:rsidRDefault="00CC0AE9" w:rsidP="00CC0AE9">
      <w:pPr>
        <w:tabs>
          <w:tab w:val="right" w:leader="underscore" w:pos="9072"/>
        </w:tabs>
        <w:spacing w:line="360" w:lineRule="auto"/>
        <w:jc w:val="both"/>
        <w:rPr>
          <w:rFonts w:ascii="Century Gothic" w:hAnsi="Century Gothic" w:cs="Century Gothic"/>
          <w:sz w:val="20"/>
          <w:szCs w:val="20"/>
        </w:rPr>
      </w:pPr>
    </w:p>
    <w:p w14:paraId="300375B4" w14:textId="77777777" w:rsidR="00CC0AE9" w:rsidRPr="00213D7B"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REQUIREMENTS FOR A PERFORMANCE BOND</w:t>
      </w:r>
    </w:p>
    <w:p w14:paraId="0FC7410D" w14:textId="77777777" w:rsidR="00CC0AE9" w:rsidRPr="00213D7B" w:rsidRDefault="00CC0AE9" w:rsidP="00CC0AE9">
      <w:pPr>
        <w:pStyle w:val="Akapitzlist"/>
        <w:autoSpaceDE w:val="0"/>
        <w:autoSpaceDN w:val="0"/>
        <w:spacing w:line="360" w:lineRule="auto"/>
        <w:ind w:left="499" w:hanging="499"/>
        <w:jc w:val="both"/>
        <w:rPr>
          <w:rFonts w:ascii="Century Gothic" w:hAnsi="Century Gothic" w:cs="Century Gothic"/>
          <w:sz w:val="20"/>
          <w:szCs w:val="20"/>
        </w:rPr>
      </w:pPr>
      <w:r>
        <w:rPr>
          <w:rFonts w:ascii="Century Gothic" w:hAnsi="Century Gothic"/>
          <w:sz w:val="20"/>
        </w:rPr>
        <w:t xml:space="preserve">The Contracting entity </w:t>
      </w:r>
      <w:r>
        <w:rPr>
          <w:rFonts w:ascii="Century Gothic" w:hAnsi="Century Gothic"/>
          <w:b/>
          <w:sz w:val="20"/>
        </w:rPr>
        <w:t>does not require</w:t>
      </w:r>
      <w:r>
        <w:rPr>
          <w:rFonts w:ascii="Century Gothic" w:hAnsi="Century Gothic"/>
          <w:sz w:val="20"/>
        </w:rPr>
        <w:t xml:space="preserve"> a performance bond.</w:t>
      </w:r>
    </w:p>
    <w:p w14:paraId="3CA2ED67" w14:textId="77777777" w:rsidR="00CC0AE9" w:rsidRPr="00213D7B" w:rsidRDefault="00CC0AE9" w:rsidP="00CC0AE9">
      <w:pPr>
        <w:autoSpaceDE w:val="0"/>
        <w:autoSpaceDN w:val="0"/>
        <w:spacing w:line="360" w:lineRule="auto"/>
        <w:jc w:val="both"/>
        <w:rPr>
          <w:rFonts w:ascii="Century Gothic" w:hAnsi="Century Gothic" w:cs="Century Gothic"/>
          <w:sz w:val="20"/>
          <w:szCs w:val="20"/>
        </w:rPr>
      </w:pPr>
    </w:p>
    <w:p w14:paraId="517A5AEA" w14:textId="77777777" w:rsidR="00CC0AE9" w:rsidRPr="00213D7B"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THE CONTENTS OF THE CONTRACT TO BE ENTERED INTO</w:t>
      </w:r>
    </w:p>
    <w:p w14:paraId="5DFE9C52" w14:textId="05A23BA2" w:rsidR="00CC0AE9" w:rsidRPr="00213D7B" w:rsidRDefault="00CC0AE9" w:rsidP="00BE508D">
      <w:pPr>
        <w:pStyle w:val="Blockquote"/>
        <w:numPr>
          <w:ilvl w:val="0"/>
          <w:numId w:val="14"/>
        </w:numPr>
        <w:spacing w:before="0" w:after="0" w:line="360" w:lineRule="auto"/>
        <w:ind w:right="0"/>
        <w:jc w:val="both"/>
        <w:rPr>
          <w:rFonts w:ascii="Century Gothic" w:hAnsi="Century Gothic" w:cs="Century Gothic"/>
          <w:b/>
          <w:bCs/>
          <w:kern w:val="144"/>
          <w:sz w:val="20"/>
          <w:szCs w:val="20"/>
        </w:rPr>
      </w:pPr>
      <w:r>
        <w:rPr>
          <w:rFonts w:ascii="Century Gothic" w:hAnsi="Century Gothic"/>
          <w:sz w:val="20"/>
        </w:rPr>
        <w:lastRenderedPageBreak/>
        <w:t xml:space="preserve">The Contracting Entity shall enter into the procurement Contract on the terms and conditions set out in the Draft Contract which constitutes </w:t>
      </w:r>
      <w:r>
        <w:rPr>
          <w:rFonts w:ascii="Century Gothic" w:hAnsi="Century Gothic"/>
          <w:b/>
          <w:sz w:val="20"/>
        </w:rPr>
        <w:t>Appendix 1 to the  ToR</w:t>
      </w:r>
      <w:r>
        <w:rPr>
          <w:rFonts w:ascii="Century Gothic" w:hAnsi="Century Gothic"/>
          <w:sz w:val="20"/>
        </w:rPr>
        <w:t>.</w:t>
      </w:r>
    </w:p>
    <w:p w14:paraId="0BBFE36A" w14:textId="441B92A0" w:rsidR="00CC0AE9" w:rsidRPr="00213D7B" w:rsidRDefault="00CC0AE9"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Pr>
          <w:rFonts w:ascii="Century Gothic" w:hAnsi="Century Gothic"/>
          <w:sz w:val="20"/>
        </w:rPr>
        <w:t>The procurement Contract must be concluded in writing otherwise being null and void.</w:t>
      </w:r>
    </w:p>
    <w:p w14:paraId="70D4CEAD" w14:textId="1C22734C" w:rsidR="00215ACF" w:rsidRPr="004976A7" w:rsidRDefault="00215ACF"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Pr>
          <w:rFonts w:ascii="Century Gothic" w:hAnsi="Century Gothic"/>
          <w:sz w:val="20"/>
        </w:rPr>
        <w:t>The contract shall be concluded upon signing by the Contracting Entity and the Contractor whose tender had been found the most advantageous.</w:t>
      </w:r>
    </w:p>
    <w:p w14:paraId="5B840304" w14:textId="3BD65BB1" w:rsidR="00CC0AE9" w:rsidRPr="004976A7" w:rsidRDefault="00CC0AE9"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Pr>
          <w:rFonts w:ascii="Century Gothic" w:hAnsi="Century Gothic"/>
          <w:sz w:val="20"/>
        </w:rPr>
        <w:t>The scope of the Contractor's work under the contract shall be identical to his obligation contained in the tender, subject to the exceptions provided for in the ToR.</w:t>
      </w:r>
    </w:p>
    <w:p w14:paraId="7274A26B" w14:textId="77777777" w:rsidR="00CC0AE9" w:rsidRPr="004976A7" w:rsidRDefault="00CC0AE9" w:rsidP="00BE508D">
      <w:pPr>
        <w:pStyle w:val="Blockquote"/>
        <w:numPr>
          <w:ilvl w:val="0"/>
          <w:numId w:val="14"/>
        </w:numPr>
        <w:spacing w:before="0" w:after="0" w:line="360" w:lineRule="auto"/>
        <w:ind w:right="-2"/>
        <w:jc w:val="both"/>
        <w:rPr>
          <w:rFonts w:ascii="Century Gothic" w:hAnsi="Century Gothic" w:cs="Century Gothic"/>
          <w:kern w:val="144"/>
          <w:sz w:val="20"/>
          <w:szCs w:val="20"/>
        </w:rPr>
      </w:pPr>
      <w:r>
        <w:rPr>
          <w:rFonts w:ascii="Century Gothic" w:hAnsi="Century Gothic"/>
          <w:sz w:val="20"/>
        </w:rPr>
        <w:t>The Contractors competing jointly for the Contract award and whose tender was selected as the most advantageous, shall be jointly and severally liable for the performance of the Contract and provision of the performance bond, if required.</w:t>
      </w:r>
    </w:p>
    <w:p w14:paraId="7F87C745" w14:textId="77777777" w:rsidR="00CC0AE9" w:rsidRPr="004976A7" w:rsidRDefault="00CC0AE9" w:rsidP="00CC0AE9">
      <w:pPr>
        <w:pStyle w:val="Blockquote"/>
        <w:spacing w:before="0" w:after="0" w:line="360" w:lineRule="auto"/>
        <w:ind w:left="357" w:right="-2"/>
        <w:jc w:val="both"/>
        <w:rPr>
          <w:rFonts w:ascii="Century Gothic" w:hAnsi="Century Gothic" w:cs="Century Gothic"/>
          <w:kern w:val="144"/>
          <w:sz w:val="20"/>
          <w:szCs w:val="20"/>
        </w:rPr>
      </w:pPr>
    </w:p>
    <w:p w14:paraId="16F4B18F" w14:textId="298864BA"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bookmarkStart w:id="11" w:name="_Hlk34305495"/>
      <w:r>
        <w:rPr>
          <w:rFonts w:ascii="Century Gothic" w:hAnsi="Century Gothic"/>
          <w:b/>
          <w:sz w:val="20"/>
        </w:rPr>
        <w:t>CLARIFICATIONS AND AMENDMENTS TO THE ToR</w:t>
      </w:r>
    </w:p>
    <w:p w14:paraId="424F279E" w14:textId="3CE7FB45" w:rsidR="00CC0AE9" w:rsidRPr="007B6E72" w:rsidRDefault="00CC0AE9" w:rsidP="00BE508D">
      <w:pPr>
        <w:pStyle w:val="Styl1"/>
        <w:numPr>
          <w:ilvl w:val="0"/>
          <w:numId w:val="21"/>
        </w:numPr>
        <w:suppressAutoHyphens w:val="0"/>
        <w:spacing w:before="0" w:after="0" w:line="360" w:lineRule="auto"/>
        <w:jc w:val="both"/>
        <w:rPr>
          <w:rFonts w:cs="Times New Roman"/>
          <w:b w:val="0"/>
          <w:bCs w:val="0"/>
          <w:sz w:val="20"/>
          <w:szCs w:val="20"/>
        </w:rPr>
      </w:pPr>
      <w:bookmarkStart w:id="12" w:name="_Hlk34305488"/>
      <w:bookmarkEnd w:id="11"/>
      <w:r>
        <w:rPr>
          <w:b w:val="0"/>
          <w:sz w:val="20"/>
        </w:rPr>
        <w:t>The Contractor may request the Contracting Entity to clarify the contents of the ToR. The Contracting Entity may either provide the clarifications or leave the request unprocessed. The Contracting entity reserves the right to amend the content of the ToR at any time, before the deadline for submission of tenders. Any amendment made to the ToR by the Contracting Entity shall become an integral part of the Procedure documentation and shall be binding.</w:t>
      </w:r>
    </w:p>
    <w:p w14:paraId="71AFA233" w14:textId="2A9F569E" w:rsidR="00CC0AE9" w:rsidRPr="004976A7" w:rsidRDefault="00CC0AE9" w:rsidP="00BE508D">
      <w:pPr>
        <w:numPr>
          <w:ilvl w:val="0"/>
          <w:numId w:val="21"/>
        </w:numPr>
        <w:spacing w:line="360" w:lineRule="auto"/>
        <w:jc w:val="both"/>
        <w:rPr>
          <w:rFonts w:ascii="Century Gothic" w:hAnsi="Century Gothic" w:cs="Century Gothic"/>
          <w:sz w:val="20"/>
          <w:szCs w:val="20"/>
        </w:rPr>
      </w:pPr>
      <w:r>
        <w:rPr>
          <w:rFonts w:ascii="Century Gothic" w:hAnsi="Century Gothic"/>
          <w:sz w:val="20"/>
        </w:rPr>
        <w:t>The Contracting Entity may extend the deadline for submission of tenders, taking into account the time necessary to introduce changes in tenders resulting from the amendments to the content of the ToR.</w:t>
      </w:r>
    </w:p>
    <w:p w14:paraId="79EE7B81" w14:textId="22C1D797" w:rsidR="00CC0AE9" w:rsidRPr="001C4AE9" w:rsidRDefault="00CC0AE9" w:rsidP="00BE508D">
      <w:pPr>
        <w:numPr>
          <w:ilvl w:val="0"/>
          <w:numId w:val="21"/>
        </w:numPr>
        <w:spacing w:line="360" w:lineRule="auto"/>
        <w:jc w:val="both"/>
        <w:rPr>
          <w:rFonts w:ascii="Century Gothic" w:hAnsi="Century Gothic" w:cs="Century Gothic"/>
          <w:sz w:val="20"/>
          <w:szCs w:val="20"/>
        </w:rPr>
      </w:pPr>
      <w:r>
        <w:rPr>
          <w:rFonts w:ascii="Century Gothic" w:hAnsi="Century Gothic"/>
          <w:sz w:val="20"/>
        </w:rPr>
        <w:t>The Contracting Entity shall immediately notify all Contractors to whom the ToR were communicated or post the extension of the deadline for submission of tenders on the Contracting Entity's website where the ToR was published.</w:t>
      </w:r>
    </w:p>
    <w:bookmarkEnd w:id="12"/>
    <w:p w14:paraId="4D05032A" w14:textId="77777777" w:rsidR="00CC0AE9" w:rsidRPr="004976A7" w:rsidRDefault="00CC0AE9" w:rsidP="009A3368">
      <w:pPr>
        <w:spacing w:line="360" w:lineRule="auto"/>
        <w:ind w:left="426"/>
        <w:jc w:val="both"/>
        <w:rPr>
          <w:sz w:val="22"/>
          <w:szCs w:val="22"/>
        </w:rPr>
      </w:pPr>
    </w:p>
    <w:p w14:paraId="54575379" w14:textId="48EB6933" w:rsidR="00CC0AE9" w:rsidRPr="004976A7" w:rsidRDefault="00D61411"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CANCELLATION OF THE PROCEDURE</w:t>
      </w:r>
    </w:p>
    <w:p w14:paraId="352A3468" w14:textId="44071BE3" w:rsidR="00CC0AE9" w:rsidRPr="004976A7" w:rsidRDefault="00CC0AE9" w:rsidP="00BE508D">
      <w:pPr>
        <w:pStyle w:val="Akapitzlist"/>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reserves the right to cancel the Procedure without stating the reason for such action.</w:t>
      </w:r>
    </w:p>
    <w:p w14:paraId="2F293F64" w14:textId="5FC5A236" w:rsidR="00CC0AE9" w:rsidRPr="004976A7" w:rsidRDefault="00CC0AE9"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shall notify the following of the cancellation of the Procedure:</w:t>
      </w:r>
    </w:p>
    <w:p w14:paraId="5C71AF5A" w14:textId="07A17FDB" w:rsidR="00CC0AE9" w:rsidRPr="004976A7" w:rsidRDefault="00EF27A7" w:rsidP="00BE508D">
      <w:pPr>
        <w:numPr>
          <w:ilvl w:val="0"/>
          <w:numId w:val="20"/>
        </w:numPr>
        <w:tabs>
          <w:tab w:val="clear" w:pos="594"/>
          <w:tab w:val="num" w:pos="709"/>
        </w:tabs>
        <w:spacing w:line="360" w:lineRule="auto"/>
        <w:ind w:left="709"/>
        <w:jc w:val="both"/>
        <w:rPr>
          <w:rFonts w:ascii="Century Gothic" w:hAnsi="Century Gothic" w:cs="Century Gothic"/>
          <w:sz w:val="20"/>
          <w:szCs w:val="20"/>
        </w:rPr>
      </w:pPr>
      <w:r>
        <w:rPr>
          <w:rFonts w:ascii="Century Gothic" w:hAnsi="Century Gothic"/>
          <w:sz w:val="20"/>
        </w:rPr>
        <w:t>Contractors who applied for the Contract award – if the Procedure is cancelled before the deadline for the submission of tenders,</w:t>
      </w:r>
    </w:p>
    <w:p w14:paraId="1060E93D" w14:textId="2AE03F86" w:rsidR="00CC0AE9" w:rsidRPr="004976A7" w:rsidRDefault="00CC0AE9" w:rsidP="00BE508D">
      <w:pPr>
        <w:numPr>
          <w:ilvl w:val="0"/>
          <w:numId w:val="20"/>
        </w:numPr>
        <w:tabs>
          <w:tab w:val="clear" w:pos="594"/>
          <w:tab w:val="num" w:pos="709"/>
        </w:tabs>
        <w:spacing w:line="360" w:lineRule="auto"/>
        <w:ind w:left="709"/>
        <w:jc w:val="both"/>
        <w:rPr>
          <w:rFonts w:ascii="Century Gothic" w:hAnsi="Century Gothic" w:cs="Century Gothic"/>
          <w:sz w:val="20"/>
          <w:szCs w:val="20"/>
        </w:rPr>
      </w:pPr>
      <w:r>
        <w:rPr>
          <w:rFonts w:ascii="Century Gothic" w:hAnsi="Century Gothic"/>
          <w:sz w:val="20"/>
        </w:rPr>
        <w:t>all Contractors who submitted tenders – if the Procedure is cancelled after the deadline for submission of tenders.</w:t>
      </w:r>
    </w:p>
    <w:p w14:paraId="70E07EF5" w14:textId="407B34A4" w:rsidR="000D63D5" w:rsidRPr="0093034B" w:rsidRDefault="000D63D5"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right referred to in Section 1 above is also vested in the Contracting Entity after the selection of the most advantageous tender. In such situation, the Contracting Entity may </w:t>
      </w:r>
      <w:r>
        <w:rPr>
          <w:rFonts w:ascii="Century Gothic" w:hAnsi="Century Gothic"/>
          <w:sz w:val="20"/>
        </w:rPr>
        <w:lastRenderedPageBreak/>
        <w:t>cancel the Procedure after the prior cancellation of the selection of the most advantageous tender.</w:t>
      </w:r>
    </w:p>
    <w:p w14:paraId="6F7366E0" w14:textId="77777777" w:rsidR="000D63D5" w:rsidRDefault="000D63D5"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 xml:space="preserve">The Contracting Entity reserves the right to cancel any of its actions performed in the Procedure before the conclusion of the contract, without having to provide the reason for such action.   </w:t>
      </w:r>
    </w:p>
    <w:p w14:paraId="393E928A" w14:textId="56F36453" w:rsidR="0093034B" w:rsidRPr="004976A7" w:rsidRDefault="0093034B"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sz w:val="20"/>
        </w:rPr>
        <w:t>The Contractor shall not seek compensation from the Contracting Entity for any damage arising in the event that the Contracting Entity exercises the rights provided for in this Chapter.</w:t>
      </w:r>
    </w:p>
    <w:p w14:paraId="30889904" w14:textId="77777777" w:rsidR="00CC0AE9" w:rsidRPr="004976A7" w:rsidRDefault="00CC0AE9" w:rsidP="00795E05">
      <w:pPr>
        <w:spacing w:line="360" w:lineRule="auto"/>
        <w:jc w:val="both"/>
        <w:rPr>
          <w:rFonts w:ascii="Century Gothic" w:hAnsi="Century Gothic" w:cs="Century Gothic"/>
          <w:sz w:val="20"/>
          <w:szCs w:val="20"/>
        </w:rPr>
      </w:pPr>
    </w:p>
    <w:p w14:paraId="036302FA"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SUBCONTRACTORS</w:t>
      </w:r>
    </w:p>
    <w:p w14:paraId="0875E01B" w14:textId="77777777" w:rsidR="00CC0AE9" w:rsidRPr="00213D7B" w:rsidRDefault="00CC0AE9" w:rsidP="00BE508D">
      <w:pPr>
        <w:pStyle w:val="Akapitzlist"/>
        <w:numPr>
          <w:ilvl w:val="0"/>
          <w:numId w:val="17"/>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shall allow the participation of subcontractors in the performance of the Contract.</w:t>
      </w:r>
    </w:p>
    <w:p w14:paraId="2D231086" w14:textId="1403548C" w:rsidR="00CC0AE9" w:rsidRPr="00213D7B" w:rsidRDefault="00CC0AE9" w:rsidP="00BE508D">
      <w:pPr>
        <w:pStyle w:val="Akapitzlist"/>
        <w:numPr>
          <w:ilvl w:val="0"/>
          <w:numId w:val="17"/>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demands that the Contractor indicates in their tender the part of the Contract they intend to entrust to subcontractors and the names of the subcontractors (if known at the stage of submitting the tender).</w:t>
      </w:r>
    </w:p>
    <w:p w14:paraId="353DBEAB" w14:textId="4B33A1C6" w:rsidR="00047496" w:rsidRPr="006B2C1B" w:rsidRDefault="00047496" w:rsidP="00BE508D">
      <w:pPr>
        <w:pStyle w:val="Akapitzlist"/>
        <w:numPr>
          <w:ilvl w:val="0"/>
          <w:numId w:val="17"/>
        </w:numPr>
        <w:spacing w:line="360" w:lineRule="auto"/>
        <w:ind w:left="357" w:hanging="357"/>
        <w:jc w:val="both"/>
        <w:rPr>
          <w:rFonts w:ascii="Century Gothic" w:hAnsi="Century Gothic" w:cs="Century Gothic"/>
          <w:sz w:val="20"/>
          <w:szCs w:val="20"/>
        </w:rPr>
      </w:pPr>
      <w:r>
        <w:rPr>
          <w:rFonts w:ascii="Century Gothic" w:hAnsi="Century Gothic"/>
          <w:sz w:val="20"/>
        </w:rPr>
        <w:t>The Contracting Entity does not allow participation in the performance of the Contract by subcontractors with respect to whom there are grounds for exclusion referred to in Chapter VIII, Section 1.1)-10) and Section 3.2)-6) of the ToR. The participation in the performance of the Contract of subcontractors to whom Chapter VIII, Section 2 of the ToR applies is prohibited if their work accounts for more than 10% of the Contract value.</w:t>
      </w:r>
    </w:p>
    <w:p w14:paraId="0E31CDC1" w14:textId="77777777" w:rsidR="00E47F62" w:rsidRPr="0046592F" w:rsidRDefault="00E47F62" w:rsidP="00E47F62">
      <w:pPr>
        <w:spacing w:line="360" w:lineRule="auto"/>
        <w:ind w:left="357"/>
        <w:jc w:val="both"/>
        <w:rPr>
          <w:rFonts w:ascii="Century Gothic" w:hAnsi="Century Gothic" w:cs="Century Gothic"/>
          <w:sz w:val="20"/>
          <w:szCs w:val="20"/>
        </w:rPr>
      </w:pPr>
    </w:p>
    <w:p w14:paraId="27AF26D4" w14:textId="4DB43DB3" w:rsidR="00E47F62" w:rsidRPr="001C4AE9" w:rsidRDefault="00E47F62"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b/>
          <w:sz w:val="20"/>
        </w:rPr>
        <w:t>INFORMATION ON PERSONAL DATA PROTECTION (ART 13 of the GDPR)</w:t>
      </w:r>
    </w:p>
    <w:p w14:paraId="6DDC65CF"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t xml:space="preserve">Data controller </w:t>
      </w:r>
    </w:p>
    <w:p w14:paraId="3B3AAFF5" w14:textId="5766441D"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cs="Century Gothic"/>
          <w:sz w:val="20"/>
          <w:szCs w:val="20"/>
        </w:rPr>
      </w:pPr>
      <w:r>
        <w:rPr>
          <w:rFonts w:ascii="Century Gothic" w:hAnsi="Century Gothic"/>
          <w:sz w:val="20"/>
        </w:rPr>
        <w:t>The data controller within the meaning of the EU Regulation 2016/679 of the European Parliament and of the Council of 27 April 2016 on the protection of natural persons with regard to the processing of personal data and on the free movement of such data, and repealing Directive 95/46/EC (General Data Protection Regulation), (OJ EU L 119 of 04 May 2016, p. 1 and OJ EU L 127 of 23 May 2018, p. 2), hereinafter referred to as “the GDPR”, of:</w:t>
      </w:r>
    </w:p>
    <w:p w14:paraId="557D2A49" w14:textId="6BC4F36E" w:rsidR="00235E82" w:rsidRPr="00CD6DC6" w:rsidRDefault="00235E82" w:rsidP="00B4702A">
      <w:pPr>
        <w:pStyle w:val="Akapitzlist"/>
        <w:spacing w:line="360" w:lineRule="auto"/>
        <w:ind w:left="851" w:hanging="425"/>
        <w:jc w:val="both"/>
        <w:rPr>
          <w:rFonts w:ascii="Century Gothic" w:hAnsi="Century Gothic"/>
          <w:sz w:val="20"/>
          <w:szCs w:val="20"/>
        </w:rPr>
      </w:pPr>
      <w:r>
        <w:rPr>
          <w:rFonts w:ascii="Century Gothic" w:hAnsi="Century Gothic"/>
          <w:sz w:val="20"/>
        </w:rPr>
        <w:t>1)</w:t>
      </w:r>
      <w:r w:rsidR="008B3F6C" w:rsidRPr="008B3F6C">
        <w:rPr>
          <w:rFonts w:ascii="Century Gothic" w:hAnsi="Century Gothic"/>
          <w:sz w:val="20"/>
        </w:rPr>
        <w:t xml:space="preserve"> </w:t>
      </w:r>
      <w:r w:rsidR="008B3F6C">
        <w:rPr>
          <w:rFonts w:ascii="Century Gothic" w:hAnsi="Century Gothic"/>
          <w:sz w:val="20"/>
        </w:rPr>
        <w:tab/>
      </w:r>
      <w:r>
        <w:rPr>
          <w:rFonts w:ascii="Century Gothic" w:hAnsi="Century Gothic"/>
          <w:sz w:val="20"/>
        </w:rPr>
        <w:t>the Contractor who is a natural person,</w:t>
      </w:r>
    </w:p>
    <w:p w14:paraId="3DCC1C05" w14:textId="06AB63EC" w:rsidR="00235E82" w:rsidRPr="00CD6DC6" w:rsidRDefault="00235E82" w:rsidP="00B4702A">
      <w:pPr>
        <w:pStyle w:val="Akapitzlist"/>
        <w:spacing w:line="360" w:lineRule="auto"/>
        <w:ind w:left="851" w:hanging="425"/>
        <w:jc w:val="both"/>
        <w:rPr>
          <w:rFonts w:ascii="Century Gothic" w:hAnsi="Century Gothic"/>
          <w:sz w:val="20"/>
          <w:szCs w:val="20"/>
        </w:rPr>
      </w:pPr>
      <w:r>
        <w:rPr>
          <w:rFonts w:ascii="Century Gothic" w:hAnsi="Century Gothic"/>
          <w:sz w:val="20"/>
        </w:rPr>
        <w:t>2)</w:t>
      </w:r>
      <w:r w:rsidR="008B3F6C" w:rsidRPr="008B3F6C">
        <w:rPr>
          <w:rFonts w:ascii="Century Gothic" w:hAnsi="Century Gothic"/>
          <w:sz w:val="20"/>
        </w:rPr>
        <w:t xml:space="preserve"> </w:t>
      </w:r>
      <w:r w:rsidR="008B3F6C">
        <w:rPr>
          <w:rFonts w:ascii="Century Gothic" w:hAnsi="Century Gothic"/>
          <w:sz w:val="20"/>
        </w:rPr>
        <w:tab/>
      </w:r>
      <w:r>
        <w:rPr>
          <w:rFonts w:ascii="Century Gothic" w:hAnsi="Century Gothic"/>
          <w:sz w:val="20"/>
        </w:rPr>
        <w:t>the Contractor who is a natural person running a sole proprietorship,</w:t>
      </w:r>
    </w:p>
    <w:p w14:paraId="5A5BBC10" w14:textId="2A163B80" w:rsidR="00235E82" w:rsidRPr="00CD6DC6" w:rsidRDefault="00235E82" w:rsidP="00B4702A">
      <w:pPr>
        <w:pStyle w:val="Akapitzlist"/>
        <w:spacing w:line="360" w:lineRule="auto"/>
        <w:ind w:left="851" w:hanging="425"/>
        <w:jc w:val="both"/>
        <w:rPr>
          <w:rFonts w:ascii="Century Gothic" w:hAnsi="Century Gothic"/>
          <w:sz w:val="20"/>
          <w:szCs w:val="20"/>
        </w:rPr>
      </w:pPr>
      <w:r>
        <w:rPr>
          <w:rFonts w:ascii="Century Gothic" w:hAnsi="Century Gothic"/>
          <w:sz w:val="20"/>
        </w:rPr>
        <w:t>3)</w:t>
      </w:r>
      <w:r>
        <w:rPr>
          <w:rFonts w:ascii="Century Gothic" w:hAnsi="Century Gothic"/>
          <w:sz w:val="20"/>
        </w:rPr>
        <w:tab/>
      </w:r>
      <w:bookmarkStart w:id="13" w:name="_Hlk520283948"/>
      <w:r>
        <w:rPr>
          <w:rFonts w:ascii="Century Gothic" w:hAnsi="Century Gothic"/>
          <w:sz w:val="20"/>
        </w:rPr>
        <w:t xml:space="preserve">representative authorised to represent the Contractor during the Procedure,  </w:t>
      </w:r>
    </w:p>
    <w:bookmarkEnd w:id="13"/>
    <w:p w14:paraId="0C4AA043" w14:textId="77777777" w:rsidR="00235E82" w:rsidRPr="00CD6DC6" w:rsidRDefault="00235E82" w:rsidP="00B4702A">
      <w:pPr>
        <w:pStyle w:val="Akapitzlist"/>
        <w:spacing w:line="360" w:lineRule="auto"/>
        <w:ind w:left="426"/>
        <w:jc w:val="both"/>
        <w:rPr>
          <w:rFonts w:ascii="Century Gothic" w:hAnsi="Century Gothic" w:cs="Century Gothic"/>
          <w:sz w:val="20"/>
          <w:szCs w:val="20"/>
        </w:rPr>
      </w:pPr>
      <w:r>
        <w:rPr>
          <w:rFonts w:ascii="Century Gothic" w:hAnsi="Century Gothic"/>
          <w:sz w:val="20"/>
        </w:rPr>
        <w:t xml:space="preserve">shall be </w:t>
      </w:r>
      <w:r>
        <w:rPr>
          <w:rFonts w:ascii="Century Gothic" w:hAnsi="Century Gothic"/>
          <w:b/>
          <w:sz w:val="20"/>
        </w:rPr>
        <w:t>Operator Gazociągów Przesyłowych GAZ-SYSTEM S.A. with its registered office in Warsaw</w:t>
      </w:r>
      <w:r>
        <w:rPr>
          <w:rFonts w:ascii="Century Gothic" w:hAnsi="Century Gothic"/>
          <w:sz w:val="20"/>
        </w:rPr>
        <w:t xml:space="preserve"> (address: ul. Mszczonowska 4, 02-337 Warszawa) as the Contracting Entity.</w:t>
      </w:r>
    </w:p>
    <w:p w14:paraId="25F2D3C7" w14:textId="484A90CD" w:rsidR="00235E82" w:rsidRPr="00CD6DC6" w:rsidRDefault="00235E82" w:rsidP="00B4702A">
      <w:pPr>
        <w:pStyle w:val="Akapitzlist"/>
        <w:spacing w:line="360" w:lineRule="auto"/>
        <w:ind w:left="426"/>
        <w:jc w:val="both"/>
        <w:rPr>
          <w:rFonts w:ascii="Century Gothic" w:hAnsi="Century Gothic"/>
          <w:sz w:val="20"/>
          <w:szCs w:val="20"/>
        </w:rPr>
      </w:pPr>
      <w:r>
        <w:rPr>
          <w:rFonts w:ascii="Century Gothic" w:hAnsi="Century Gothic"/>
          <w:sz w:val="20"/>
        </w:rPr>
        <w:t>Data protection rights can be exercised (or more information can be obtained) by communicating with the Contracting Entity at the e-mail address indicated in Chapter X of the ToR or via the Procurement Portal.</w:t>
      </w:r>
    </w:p>
    <w:p w14:paraId="6FB33DED" w14:textId="77777777" w:rsidR="00235E82" w:rsidRPr="00B4702A" w:rsidRDefault="00235E82" w:rsidP="00235E82">
      <w:pPr>
        <w:spacing w:line="360" w:lineRule="auto"/>
        <w:jc w:val="both"/>
        <w:rPr>
          <w:rFonts w:ascii="Century Gothic" w:hAnsi="Century Gothic" w:cs="Century Gothic"/>
          <w:bCs/>
          <w:sz w:val="20"/>
          <w:szCs w:val="20"/>
        </w:rPr>
      </w:pPr>
    </w:p>
    <w:p w14:paraId="4A5B959F"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t>Purpose of personal data processing</w:t>
      </w:r>
    </w:p>
    <w:p w14:paraId="3687DD96" w14:textId="7FE7BA08"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personal data provided by the persons indicated in Section 1 shall be processed to the extent necessary to take steps to possibly conclude a contract for the performance of the Contract (Article 6(1)(b) of the GDPR), and also on the basis of Article 6(1)(f) of the GDPR will be used for the purpose of maintaining business contact. Accordingly, the provision of personal data is voluntary, but failure to do so will prevent the Contracting Entity from carrying out the activities necessary for the award of the Contract.</w:t>
      </w:r>
    </w:p>
    <w:p w14:paraId="154CA1C1" w14:textId="77777777" w:rsidR="00235E82" w:rsidRPr="00B4702A" w:rsidRDefault="00235E82" w:rsidP="00B4702A">
      <w:pPr>
        <w:spacing w:line="360" w:lineRule="auto"/>
        <w:jc w:val="both"/>
        <w:rPr>
          <w:rFonts w:ascii="Century Gothic" w:hAnsi="Century Gothic" w:cs="Century Gothic"/>
          <w:bCs/>
          <w:sz w:val="20"/>
          <w:szCs w:val="20"/>
        </w:rPr>
      </w:pPr>
    </w:p>
    <w:p w14:paraId="37E62FEC" w14:textId="77777777" w:rsidR="00235E82" w:rsidRPr="00E562B2" w:rsidRDefault="00235E82" w:rsidP="00B4702A">
      <w:pPr>
        <w:spacing w:line="360" w:lineRule="auto"/>
        <w:jc w:val="both"/>
        <w:rPr>
          <w:rFonts w:ascii="Century Gothic" w:hAnsi="Century Gothic" w:cs="Century Gothic"/>
          <w:b/>
          <w:sz w:val="20"/>
          <w:szCs w:val="20"/>
        </w:rPr>
      </w:pPr>
      <w:r>
        <w:rPr>
          <w:rFonts w:ascii="Century Gothic" w:hAnsi="Century Gothic"/>
          <w:b/>
          <w:sz w:val="20"/>
        </w:rPr>
        <w:t xml:space="preserve">Legal basis for personal data processing </w:t>
      </w:r>
    </w:p>
    <w:p w14:paraId="14C93D2A" w14:textId="77777777"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legal basis for the processing of personal data of the persons indicated in Section 1 is Article 6(1)(f) of the GDPR.</w:t>
      </w:r>
    </w:p>
    <w:p w14:paraId="073C323A" w14:textId="77777777" w:rsidR="00235E82" w:rsidRPr="00B4702A" w:rsidRDefault="00235E82" w:rsidP="00B4702A">
      <w:pPr>
        <w:spacing w:line="360" w:lineRule="auto"/>
        <w:jc w:val="both"/>
        <w:rPr>
          <w:rFonts w:ascii="Century Gothic" w:hAnsi="Century Gothic" w:cs="Century Gothic"/>
          <w:bCs/>
          <w:sz w:val="20"/>
          <w:szCs w:val="20"/>
        </w:rPr>
      </w:pPr>
    </w:p>
    <w:p w14:paraId="2B5F96DD" w14:textId="77777777" w:rsidR="00235E82" w:rsidRPr="00B4702A" w:rsidRDefault="00235E82" w:rsidP="00235E82">
      <w:pPr>
        <w:spacing w:line="360" w:lineRule="auto"/>
        <w:jc w:val="both"/>
        <w:rPr>
          <w:rFonts w:ascii="Century Gothic" w:hAnsi="Century Gothic" w:cs="Century Gothic"/>
          <w:b/>
          <w:sz w:val="20"/>
          <w:szCs w:val="20"/>
        </w:rPr>
      </w:pPr>
      <w:r>
        <w:rPr>
          <w:rFonts w:ascii="Century Gothic" w:hAnsi="Century Gothic"/>
          <w:b/>
          <w:sz w:val="20"/>
        </w:rPr>
        <w:t>Personal data recipients</w:t>
      </w:r>
    </w:p>
    <w:p w14:paraId="0D2B742E"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will be processed by employees or associates of the Contracting Entity.</w:t>
      </w:r>
    </w:p>
    <w:p w14:paraId="5714BEA9" w14:textId="16D203D2"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in the scope of names and surnames or company names will also be, in the event of selection of the most advantageous tender, published on the Contracting Entity's website at https://portal.gaz-system.pl/.</w:t>
      </w:r>
    </w:p>
    <w:p w14:paraId="51E32AD7" w14:textId="224B5903"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It shall also be permissible, after the relevant contract is signed, to provide the interested parties, including other Contractors, with documents related to the Procedure, which were transferred or received during the Procedure. The final decision in this respect shall be made by the Contracting Entity.</w:t>
      </w:r>
    </w:p>
    <w:p w14:paraId="12EF64F5" w14:textId="58655018"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concerning the persons referred to in Section 1 shall also be made available to the employees or collaborators of contractors with whom the Contracting Entity has concluded contracts or agreements for the use of IT systems provided by these contractors for the transfer or archiving of data. However, the scope of the transfer of data to these recipients is limited exclusively to the possibility of becoming acquainted with this data in connection with the provision of technical support services and failure recovery. These recipients are bound by an obligation to maintain the confidentiality of all data, including personal data.</w:t>
      </w:r>
    </w:p>
    <w:p w14:paraId="41F6FE73" w14:textId="3B8C533A" w:rsidR="00FB3315" w:rsidRPr="00B4702A"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In addition, the following entities may be  the recipients of the data: members of the Contracting Entity's bodies, entities authorised on the basis of applicable laws (in particular courts, state authorities, institutions), entities providing services to the Contracting Entity on the basis of concluded contracts, in particular entities providing the Contracting Entity with IT and new technology services, postal and courier services, document destruction and archiving services, accounting and financial services.</w:t>
      </w:r>
    </w:p>
    <w:p w14:paraId="0500BF3C" w14:textId="77777777" w:rsidR="00235E82" w:rsidRPr="00B4702A" w:rsidRDefault="00235E82" w:rsidP="00235E82">
      <w:pPr>
        <w:spacing w:line="360" w:lineRule="auto"/>
        <w:jc w:val="both"/>
        <w:rPr>
          <w:rFonts w:ascii="Century Gothic" w:hAnsi="Century Gothic"/>
          <w:bCs/>
          <w:sz w:val="20"/>
          <w:szCs w:val="20"/>
        </w:rPr>
      </w:pPr>
    </w:p>
    <w:p w14:paraId="08B50511"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lastRenderedPageBreak/>
        <w:t>Period of personal data processing</w:t>
      </w:r>
    </w:p>
    <w:p w14:paraId="23900D5B"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Personal data shall be processed for the period necessary for the selection of the most advantageous tender, cancellation of the Procedure or termination of the Procedure without the selection of the most advantageous tender, and after this period the data will be stored for archival purposes for the period prescribed by law. </w:t>
      </w:r>
    </w:p>
    <w:p w14:paraId="685D2E07" w14:textId="77777777" w:rsidR="00235E82" w:rsidRPr="00B4702A" w:rsidRDefault="00235E82" w:rsidP="00B4702A">
      <w:pPr>
        <w:spacing w:line="360" w:lineRule="auto"/>
        <w:jc w:val="both"/>
        <w:rPr>
          <w:rFonts w:ascii="Century Gothic" w:hAnsi="Century Gothic" w:cs="Century Gothic"/>
          <w:sz w:val="20"/>
          <w:szCs w:val="20"/>
        </w:rPr>
      </w:pPr>
    </w:p>
    <w:p w14:paraId="59BBB7CE" w14:textId="77777777" w:rsidR="00235E82" w:rsidRPr="00E562B2" w:rsidRDefault="00235E82" w:rsidP="00235E82">
      <w:pPr>
        <w:spacing w:line="360" w:lineRule="auto"/>
        <w:jc w:val="both"/>
        <w:rPr>
          <w:rFonts w:ascii="Century Gothic" w:hAnsi="Century Gothic" w:cs="Century Gothic"/>
          <w:b/>
          <w:sz w:val="20"/>
          <w:szCs w:val="20"/>
        </w:rPr>
      </w:pPr>
      <w:r>
        <w:rPr>
          <w:rFonts w:ascii="Century Gothic" w:hAnsi="Century Gothic"/>
          <w:b/>
          <w:sz w:val="20"/>
        </w:rPr>
        <w:t>Transfer of data to third countries or international organisations</w:t>
      </w:r>
    </w:p>
    <w:p w14:paraId="11873DF1"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bookmarkStart w:id="14" w:name="_Hlk520305423"/>
      <w:r>
        <w:rPr>
          <w:rFonts w:ascii="Century Gothic" w:hAnsi="Century Gothic"/>
          <w:sz w:val="20"/>
        </w:rPr>
        <w:t xml:space="preserve">Personal data may be transferred to third countries or international organisations pursuant to the applicable legislation. </w:t>
      </w:r>
    </w:p>
    <w:bookmarkEnd w:id="14"/>
    <w:p w14:paraId="0C6013CE" w14:textId="77777777" w:rsidR="00235E82" w:rsidRPr="00B4702A" w:rsidRDefault="00235E82" w:rsidP="00B4702A">
      <w:pPr>
        <w:spacing w:line="360" w:lineRule="auto"/>
        <w:jc w:val="both"/>
        <w:rPr>
          <w:rFonts w:ascii="Century Gothic" w:hAnsi="Century Gothic" w:cs="Century Gothic"/>
          <w:sz w:val="20"/>
          <w:szCs w:val="20"/>
        </w:rPr>
      </w:pPr>
    </w:p>
    <w:p w14:paraId="5CE483BA" w14:textId="77777777" w:rsidR="00235E82" w:rsidRPr="00B4702A" w:rsidRDefault="00235E82" w:rsidP="00235E82">
      <w:pPr>
        <w:spacing w:line="360" w:lineRule="auto"/>
        <w:jc w:val="both"/>
        <w:rPr>
          <w:rFonts w:ascii="Century Gothic" w:hAnsi="Century Gothic" w:cs="Century Gothic"/>
          <w:b/>
          <w:sz w:val="20"/>
          <w:szCs w:val="20"/>
        </w:rPr>
      </w:pPr>
      <w:r>
        <w:rPr>
          <w:rFonts w:ascii="Century Gothic" w:hAnsi="Century Gothic"/>
          <w:b/>
          <w:sz w:val="20"/>
        </w:rPr>
        <w:t xml:space="preserve">Automated decisions </w:t>
      </w:r>
    </w:p>
    <w:p w14:paraId="459E51C2" w14:textId="7F2E6D7C"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Contracting Entity does not make automated decisions and does not perform profiling based on your personal data.</w:t>
      </w:r>
    </w:p>
    <w:p w14:paraId="65B35B7D" w14:textId="77777777" w:rsidR="00235E82" w:rsidRPr="00B4702A" w:rsidRDefault="00235E82" w:rsidP="00235E82">
      <w:pPr>
        <w:spacing w:line="360" w:lineRule="auto"/>
        <w:jc w:val="both"/>
        <w:rPr>
          <w:rFonts w:ascii="Century Gothic" w:hAnsi="Century Gothic"/>
          <w:sz w:val="20"/>
          <w:szCs w:val="20"/>
        </w:rPr>
      </w:pPr>
    </w:p>
    <w:p w14:paraId="2CC9A659" w14:textId="77777777" w:rsidR="00235E82" w:rsidRPr="00B4702A" w:rsidRDefault="00235E82" w:rsidP="00235E82">
      <w:pPr>
        <w:spacing w:line="360" w:lineRule="auto"/>
        <w:jc w:val="both"/>
        <w:rPr>
          <w:rFonts w:ascii="Century Gothic" w:hAnsi="Century Gothic" w:cs="Century Gothic"/>
          <w:b/>
          <w:sz w:val="20"/>
          <w:szCs w:val="20"/>
        </w:rPr>
      </w:pPr>
      <w:r>
        <w:rPr>
          <w:rFonts w:ascii="Century Gothic" w:hAnsi="Century Gothic"/>
          <w:b/>
          <w:sz w:val="20"/>
        </w:rPr>
        <w:t>Rights</w:t>
      </w:r>
    </w:p>
    <w:p w14:paraId="4EFF794D" w14:textId="77777777"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persons referred to in Section 1 have the right to:</w:t>
      </w:r>
    </w:p>
    <w:p w14:paraId="39DD5810" w14:textId="486A7F3E"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access their personal data, i. e. obtain information what data is processed, in what manner and for what purpose,</w:t>
      </w:r>
    </w:p>
    <w:p w14:paraId="7B883686"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rectify, i. e. demand that the data be updated if it turns out that the data collected is incorrect or no longer up-to-date,</w:t>
      </w:r>
    </w:p>
    <w:p w14:paraId="33A0B548"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have the personal data deleted, i.e. demand the removal of the personal data in whole or in part. If the request is justified, the Contracting Entity shall immediately delete such data;</w:t>
      </w:r>
    </w:p>
    <w:p w14:paraId="375755B6" w14:textId="5FF234F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 xml:space="preserve">restrict the processing, i. e. demand that the personal data processing be limited. The restriction of the processing may be repealed after the circumstances justifying the limitation of the processing cease to exist; </w:t>
      </w:r>
    </w:p>
    <w:p w14:paraId="2C7FF6B1"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file a complaint against the Contracting Entity with the President of the Office for Personal Data Protection (Prezes Urzędu Ochrony Danych Osobowych) if you believe that the processing of your personal data violates the provisions of law.</w:t>
      </w:r>
    </w:p>
    <w:p w14:paraId="4427BA65" w14:textId="57688F82"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bookmarkStart w:id="15" w:name="_Hlk520304152"/>
      <w:r>
        <w:rPr>
          <w:rFonts w:ascii="Century Gothic" w:hAnsi="Century Gothic"/>
          <w:sz w:val="20"/>
        </w:rPr>
        <w:t>In addition to the rights indicated in Section 12, the persons indicated in Section 1:</w:t>
      </w:r>
    </w:p>
    <w:p w14:paraId="43268337" w14:textId="77777777" w:rsidR="00235E82" w:rsidRPr="00CD6DC6" w:rsidRDefault="00235E82" w:rsidP="00BE508D">
      <w:pPr>
        <w:pStyle w:val="Akapitzlist"/>
        <w:numPr>
          <w:ilvl w:val="0"/>
          <w:numId w:val="36"/>
        </w:numPr>
        <w:spacing w:line="360" w:lineRule="auto"/>
        <w:ind w:left="851" w:hanging="425"/>
        <w:jc w:val="both"/>
        <w:rPr>
          <w:rFonts w:ascii="Century Gothic" w:hAnsi="Century Gothic"/>
          <w:sz w:val="20"/>
          <w:szCs w:val="20"/>
        </w:rPr>
      </w:pPr>
      <w:r>
        <w:rPr>
          <w:rFonts w:ascii="Century Gothic" w:hAnsi="Century Gothic"/>
          <w:sz w:val="20"/>
        </w:rPr>
        <w:t>items 1) and 2) have the right</w:t>
      </w:r>
      <w:bookmarkEnd w:id="15"/>
      <w:r>
        <w:rPr>
          <w:rFonts w:ascii="Century Gothic" w:hAnsi="Century Gothic"/>
          <w:sz w:val="20"/>
        </w:rPr>
        <w:t xml:space="preserve"> to have their personal data transferred, i.e. to receive from the Contracting Entity, in a structured, commonly used machine-readable format, the personal data that concerns them,</w:t>
      </w:r>
    </w:p>
    <w:p w14:paraId="3784BC9B" w14:textId="64EFA437" w:rsidR="00235E82" w:rsidRDefault="00235E82" w:rsidP="00BE508D">
      <w:pPr>
        <w:pStyle w:val="Akapitzlist"/>
        <w:numPr>
          <w:ilvl w:val="0"/>
          <w:numId w:val="36"/>
        </w:numPr>
        <w:spacing w:line="360" w:lineRule="auto"/>
        <w:ind w:left="851" w:hanging="425"/>
        <w:jc w:val="both"/>
        <w:rPr>
          <w:rFonts w:ascii="Century Gothic" w:hAnsi="Century Gothic"/>
          <w:bCs/>
          <w:sz w:val="20"/>
          <w:szCs w:val="20"/>
        </w:rPr>
      </w:pPr>
      <w:r>
        <w:rPr>
          <w:rFonts w:ascii="Century Gothic" w:hAnsi="Century Gothic"/>
          <w:sz w:val="20"/>
        </w:rPr>
        <w:t>Section 3) have the right to object to the processing, i.e. to stop the processing of personal data for the purpose of maintaining business contacts, if, in their opinion, the Contracting Entity has violated their rights in connection with the processing of the data provided.</w:t>
      </w:r>
    </w:p>
    <w:p w14:paraId="3DE3A551" w14:textId="57858D39" w:rsidR="00FB3315" w:rsidRPr="000A059D"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lastRenderedPageBreak/>
        <w:t xml:space="preserve">In the event that the performance of the obligations referred to in Section 12.1) above would require a disproportionate effort, the Contracting Entity may require the data subject to provide additional information to specify the request, in particular to provide the name or date of the non-public </w:t>
      </w:r>
      <w:r w:rsidR="006B0699">
        <w:rPr>
          <w:rFonts w:ascii="Century Gothic" w:hAnsi="Century Gothic"/>
          <w:sz w:val="20"/>
        </w:rPr>
        <w:t>contract award</w:t>
      </w:r>
      <w:r>
        <w:rPr>
          <w:rFonts w:ascii="Century Gothic" w:hAnsi="Century Gothic"/>
          <w:sz w:val="20"/>
        </w:rPr>
        <w:t xml:space="preserve"> procedure.</w:t>
      </w:r>
    </w:p>
    <w:p w14:paraId="6149DC35" w14:textId="38B8C326" w:rsidR="00FB3315" w:rsidRPr="000A059D"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exercise by the data subject of the right to rectify or supplement personal data referred to in Section 12.2) above shall not result in changing the outcome of the Procedure or the provisions of the contract.</w:t>
      </w:r>
    </w:p>
    <w:p w14:paraId="587BB782" w14:textId="6991B78A" w:rsidR="00FB3315" w:rsidRPr="00B4702A"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request referred to in Section 12.4) above shall not restrict the processing of personal data until the conclusion of the Procedure.</w:t>
      </w:r>
    </w:p>
    <w:p w14:paraId="65251DF2" w14:textId="5BFACBEB" w:rsidR="00235E82" w:rsidRDefault="00235E82" w:rsidP="00E47F62">
      <w:pPr>
        <w:spacing w:line="360" w:lineRule="auto"/>
        <w:jc w:val="both"/>
        <w:rPr>
          <w:rFonts w:ascii="Century Gothic" w:hAnsi="Century Gothic" w:cs="Century Gothic"/>
          <w:sz w:val="20"/>
          <w:szCs w:val="20"/>
        </w:rPr>
      </w:pPr>
    </w:p>
    <w:p w14:paraId="722A212D" w14:textId="01BB905E" w:rsidR="00235E82" w:rsidRPr="00CD6DC6" w:rsidRDefault="00235E82" w:rsidP="002F54AB">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spacing w:after="0" w:line="360" w:lineRule="auto"/>
        <w:jc w:val="both"/>
        <w:rPr>
          <w:rFonts w:ascii="Century Gothic" w:hAnsi="Century Gothic" w:cs="Century Gothic"/>
          <w:b/>
          <w:bCs/>
          <w:sz w:val="20"/>
          <w:szCs w:val="20"/>
        </w:rPr>
      </w:pPr>
      <w:r>
        <w:rPr>
          <w:rFonts w:ascii="Century Gothic" w:hAnsi="Century Gothic"/>
          <w:b/>
          <w:sz w:val="20"/>
        </w:rPr>
        <w:t>INFORMATION ON PERSONAL DATA PROTECTION (ART 14 of the GDPR)</w:t>
      </w:r>
    </w:p>
    <w:p w14:paraId="5547A9F1" w14:textId="77777777" w:rsidR="00235E82" w:rsidRDefault="00235E82" w:rsidP="00235E82">
      <w:pPr>
        <w:spacing w:line="360" w:lineRule="auto"/>
        <w:jc w:val="both"/>
        <w:rPr>
          <w:rFonts w:ascii="Century Gothic" w:eastAsia="Arial" w:hAnsi="Century Gothic" w:cs="Arial"/>
          <w:color w:val="000000" w:themeColor="text1"/>
          <w:sz w:val="20"/>
          <w:szCs w:val="20"/>
        </w:rPr>
      </w:pPr>
      <w:r>
        <w:rPr>
          <w:rFonts w:ascii="Century Gothic" w:hAnsi="Century Gothic"/>
          <w:sz w:val="20"/>
        </w:rPr>
        <w:t>The Contractor shall fulfil, on behalf of the Contracting Entity, the information obligations under Article 14 of the GDPR in relation to the persons indicated below in Section 1.</w:t>
      </w:r>
      <w:r>
        <w:rPr>
          <w:rFonts w:ascii="Century Gothic" w:hAnsi="Century Gothic"/>
          <w:color w:val="000000" w:themeColor="text1"/>
          <w:sz w:val="20"/>
        </w:rPr>
        <w:t xml:space="preserve"> </w:t>
      </w:r>
    </w:p>
    <w:p w14:paraId="394F6049" w14:textId="6FA1ED53" w:rsidR="00235E82" w:rsidRPr="00213D7B" w:rsidRDefault="00235E82" w:rsidP="00235E82">
      <w:pPr>
        <w:spacing w:line="360" w:lineRule="auto"/>
        <w:jc w:val="both"/>
        <w:rPr>
          <w:rFonts w:ascii="Century Gothic" w:hAnsi="Century Gothic" w:cs="Arial"/>
          <w:sz w:val="20"/>
          <w:szCs w:val="20"/>
        </w:rPr>
      </w:pPr>
      <w:r>
        <w:rPr>
          <w:rFonts w:ascii="Century Gothic" w:hAnsi="Century Gothic"/>
          <w:color w:val="000000" w:themeColor="text1"/>
          <w:sz w:val="20"/>
        </w:rPr>
        <w:t xml:space="preserve">The information obligation shall be fulfilled by providing the following information to these persons. </w:t>
      </w:r>
      <w:r>
        <w:rPr>
          <w:rFonts w:ascii="Century Gothic" w:hAnsi="Century Gothic"/>
          <w:sz w:val="20"/>
        </w:rPr>
        <w:t xml:space="preserve">The Contractor shall confirm the fulfilment of the obligation by submitting the statement included in the "Tender" form, constituting </w:t>
      </w:r>
      <w:r>
        <w:rPr>
          <w:rFonts w:ascii="Century Gothic" w:hAnsi="Century Gothic"/>
          <w:b/>
          <w:sz w:val="20"/>
        </w:rPr>
        <w:t>Appendix 3 to the ToR</w:t>
      </w:r>
      <w:r>
        <w:rPr>
          <w:rFonts w:ascii="Century Gothic" w:hAnsi="Century Gothic"/>
          <w:sz w:val="20"/>
        </w:rPr>
        <w:t>.</w:t>
      </w:r>
    </w:p>
    <w:p w14:paraId="352DB347" w14:textId="77777777" w:rsidR="00235E82" w:rsidRPr="00213D7B" w:rsidRDefault="00235E82" w:rsidP="00235E82">
      <w:pPr>
        <w:spacing w:line="360" w:lineRule="auto"/>
        <w:jc w:val="both"/>
        <w:rPr>
          <w:rFonts w:ascii="Century Gothic" w:hAnsi="Century Gothic" w:cs="Century Gothic"/>
          <w:b/>
          <w:sz w:val="20"/>
          <w:szCs w:val="20"/>
        </w:rPr>
      </w:pPr>
    </w:p>
    <w:p w14:paraId="35436DB4" w14:textId="77777777" w:rsidR="00235E82" w:rsidRPr="00213D7B" w:rsidRDefault="00235E82" w:rsidP="00235E82">
      <w:pPr>
        <w:spacing w:line="360" w:lineRule="auto"/>
        <w:jc w:val="both"/>
        <w:rPr>
          <w:rFonts w:ascii="Century Gothic" w:hAnsi="Century Gothic" w:cs="Century Gothic"/>
          <w:b/>
          <w:sz w:val="20"/>
          <w:szCs w:val="20"/>
        </w:rPr>
      </w:pPr>
      <w:r>
        <w:rPr>
          <w:rFonts w:ascii="Century Gothic" w:hAnsi="Century Gothic"/>
          <w:b/>
          <w:sz w:val="20"/>
        </w:rPr>
        <w:t xml:space="preserve">Data controller </w:t>
      </w:r>
    </w:p>
    <w:p w14:paraId="76D47418" w14:textId="77777777" w:rsidR="00235E82" w:rsidRPr="00213D7B" w:rsidRDefault="00235E82" w:rsidP="00BE508D">
      <w:pPr>
        <w:pStyle w:val="Akapitzlist"/>
        <w:numPr>
          <w:ilvl w:val="0"/>
          <w:numId w:val="44"/>
        </w:numPr>
        <w:tabs>
          <w:tab w:val="clear" w:pos="2880"/>
        </w:tabs>
        <w:spacing w:line="360" w:lineRule="auto"/>
        <w:ind w:left="426" w:hanging="426"/>
        <w:jc w:val="both"/>
        <w:rPr>
          <w:rFonts w:ascii="Century Gothic" w:hAnsi="Century Gothic" w:cs="Century Gothic"/>
          <w:sz w:val="20"/>
          <w:szCs w:val="20"/>
        </w:rPr>
      </w:pPr>
      <w:r>
        <w:rPr>
          <w:rFonts w:ascii="Century Gothic" w:hAnsi="Century Gothic"/>
          <w:sz w:val="20"/>
        </w:rPr>
        <w:t xml:space="preserve">The controller of personal data within the meaning of the </w:t>
      </w:r>
      <w:bookmarkStart w:id="16" w:name="_Hlk520292892"/>
      <w:r>
        <w:rPr>
          <w:rFonts w:ascii="Century Gothic" w:hAnsi="Century Gothic"/>
          <w:sz w:val="20"/>
        </w:rPr>
        <w:t>GDPR:</w:t>
      </w:r>
    </w:p>
    <w:bookmarkEnd w:id="16"/>
    <w:p w14:paraId="4F76B787" w14:textId="77777777" w:rsidR="00235E82" w:rsidRPr="00213D7B" w:rsidRDefault="00235E82" w:rsidP="00BE508D">
      <w:pPr>
        <w:pStyle w:val="Akapitzlist"/>
        <w:numPr>
          <w:ilvl w:val="0"/>
          <w:numId w:val="37"/>
        </w:numPr>
        <w:spacing w:line="360" w:lineRule="auto"/>
        <w:ind w:left="851" w:hanging="425"/>
        <w:jc w:val="both"/>
        <w:rPr>
          <w:rFonts w:ascii="Century Gothic" w:eastAsia="Arial" w:hAnsi="Century Gothic" w:cs="Arial"/>
          <w:sz w:val="20"/>
          <w:szCs w:val="20"/>
        </w:rPr>
      </w:pPr>
      <w:r>
        <w:rPr>
          <w:rFonts w:ascii="Century Gothic" w:hAnsi="Century Gothic"/>
          <w:sz w:val="20"/>
        </w:rPr>
        <w:t xml:space="preserve">of contact persons, </w:t>
      </w:r>
    </w:p>
    <w:p w14:paraId="186B84CC" w14:textId="77777777"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subcontractors, further subcontractors, </w:t>
      </w:r>
    </w:p>
    <w:p w14:paraId="6FD235E9" w14:textId="77777777"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third parties, </w:t>
      </w:r>
    </w:p>
    <w:p w14:paraId="1FD73D15" w14:textId="07E879B5"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authorised representatives of the Contractor, other entities within the meaning of Chapter VI, Section </w:t>
      </w:r>
      <w:r w:rsidR="007A1287">
        <w:rPr>
          <w:rFonts w:ascii="Century Gothic" w:hAnsi="Century Gothic"/>
          <w:sz w:val="20"/>
        </w:rPr>
        <w:t>6</w:t>
      </w:r>
      <w:r>
        <w:rPr>
          <w:rFonts w:ascii="Century Gothic" w:hAnsi="Century Gothic"/>
          <w:sz w:val="20"/>
        </w:rPr>
        <w:t xml:space="preserve"> of the ToR or of subcontractors,</w:t>
      </w:r>
    </w:p>
    <w:p w14:paraId="1F4F118B" w14:textId="77777777" w:rsidR="00235E82" w:rsidRPr="00213D7B"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sz w:val="20"/>
        </w:rPr>
        <w:t xml:space="preserve">of members of management and supervisory bodies of legal persons or </w:t>
      </w:r>
      <w:r>
        <w:rPr>
          <w:rFonts w:ascii="Century Gothic" w:hAnsi="Century Gothic"/>
          <w:color w:val="000000" w:themeColor="text1"/>
          <w:sz w:val="20"/>
        </w:rPr>
        <w:t>partnerships</w:t>
      </w:r>
      <w:r>
        <w:rPr>
          <w:rFonts w:ascii="Century Gothic" w:hAnsi="Century Gothic"/>
          <w:sz w:val="20"/>
        </w:rPr>
        <w:t>,</w:t>
      </w:r>
    </w:p>
    <w:p w14:paraId="3760BCD7" w14:textId="5466732A" w:rsidR="00235E82" w:rsidRPr="00DE4C4F"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hAnsi="Century Gothic"/>
          <w:color w:val="000000" w:themeColor="text1"/>
          <w:sz w:val="20"/>
        </w:rPr>
        <w:t>of proxies,</w:t>
      </w:r>
    </w:p>
    <w:p w14:paraId="1539588D" w14:textId="77777777" w:rsidR="00235E82" w:rsidRPr="00213D7B" w:rsidRDefault="00235E82" w:rsidP="009A3F88">
      <w:pPr>
        <w:pStyle w:val="Akapitzlist"/>
        <w:spacing w:line="360" w:lineRule="auto"/>
        <w:ind w:left="426"/>
        <w:jc w:val="both"/>
        <w:rPr>
          <w:rFonts w:ascii="Century Gothic" w:hAnsi="Century Gothic" w:cs="Century Gothic"/>
          <w:sz w:val="20"/>
          <w:szCs w:val="20"/>
        </w:rPr>
      </w:pPr>
      <w:r>
        <w:rPr>
          <w:rFonts w:ascii="Century Gothic" w:hAnsi="Century Gothic"/>
          <w:sz w:val="20"/>
        </w:rPr>
        <w:t xml:space="preserve">shall be </w:t>
      </w:r>
      <w:r>
        <w:rPr>
          <w:rFonts w:ascii="Century Gothic" w:hAnsi="Century Gothic"/>
          <w:b/>
          <w:sz w:val="20"/>
        </w:rPr>
        <w:t>Operator Gazociągów Przesyłowych GAZ-SYSTEM S.A</w:t>
      </w:r>
      <w:r>
        <w:rPr>
          <w:rFonts w:ascii="Century Gothic" w:hAnsi="Century Gothic"/>
          <w:sz w:val="20"/>
        </w:rPr>
        <w:t xml:space="preserve">. </w:t>
      </w:r>
      <w:r>
        <w:rPr>
          <w:rFonts w:ascii="Century Gothic" w:hAnsi="Century Gothic"/>
          <w:b/>
          <w:sz w:val="20"/>
        </w:rPr>
        <w:t>with its registered office in Warsaw</w:t>
      </w:r>
      <w:r>
        <w:rPr>
          <w:rFonts w:ascii="Century Gothic" w:hAnsi="Century Gothic"/>
          <w:sz w:val="20"/>
        </w:rPr>
        <w:t xml:space="preserve"> (address: ul. ul. Mszczonowska 4, 02-337 Warszawa) as the Contracting Entity.</w:t>
      </w:r>
    </w:p>
    <w:p w14:paraId="5406E7E5" w14:textId="29EA14D7" w:rsidR="00235E82" w:rsidRPr="00213D7B" w:rsidRDefault="00235E82" w:rsidP="009A3F88">
      <w:pPr>
        <w:pStyle w:val="Akapitzlist"/>
        <w:spacing w:line="360" w:lineRule="auto"/>
        <w:ind w:left="426"/>
        <w:jc w:val="both"/>
        <w:rPr>
          <w:rFonts w:ascii="Century Gothic" w:hAnsi="Century Gothic"/>
          <w:b/>
          <w:sz w:val="20"/>
          <w:szCs w:val="20"/>
        </w:rPr>
      </w:pPr>
      <w:r>
        <w:rPr>
          <w:rFonts w:ascii="Century Gothic" w:hAnsi="Century Gothic"/>
          <w:sz w:val="20"/>
        </w:rPr>
        <w:t>Data protection rights can be exercised (or more information can be obtained) by communicating with the Contracting Entity at the e-mail address indicated in Chapter X of the ToR.</w:t>
      </w:r>
    </w:p>
    <w:p w14:paraId="27FB31C1" w14:textId="77777777" w:rsidR="00235E82" w:rsidRPr="00213D7B" w:rsidRDefault="00235E82" w:rsidP="00235E82">
      <w:pPr>
        <w:spacing w:line="360" w:lineRule="auto"/>
        <w:jc w:val="both"/>
        <w:rPr>
          <w:rFonts w:ascii="Century Gothic" w:hAnsi="Century Gothic" w:cs="Century Gothic"/>
          <w:b/>
          <w:sz w:val="20"/>
          <w:szCs w:val="20"/>
        </w:rPr>
      </w:pPr>
    </w:p>
    <w:p w14:paraId="6AB092BA" w14:textId="77777777" w:rsidR="00235E82" w:rsidRPr="00213D7B" w:rsidRDefault="00235E82" w:rsidP="00235E82">
      <w:pPr>
        <w:spacing w:line="360" w:lineRule="auto"/>
        <w:jc w:val="both"/>
        <w:rPr>
          <w:rFonts w:ascii="Century Gothic" w:hAnsi="Century Gothic" w:cs="Century Gothic"/>
          <w:b/>
          <w:sz w:val="20"/>
          <w:szCs w:val="20"/>
        </w:rPr>
      </w:pPr>
      <w:r>
        <w:rPr>
          <w:rFonts w:ascii="Century Gothic" w:hAnsi="Century Gothic"/>
          <w:b/>
          <w:sz w:val="20"/>
        </w:rPr>
        <w:t>Purpose of personal data processing</w:t>
      </w:r>
    </w:p>
    <w:p w14:paraId="142ED4C8" w14:textId="02915128" w:rsidR="00235E82"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of the persons indicated in Section 1shall be processed for the purpose related to the Procedure, in particular to carry out the activities necessary for the award of the Contract and for archiving.</w:t>
      </w:r>
    </w:p>
    <w:p w14:paraId="1BE32C0C" w14:textId="193E7199" w:rsidR="009A3F88" w:rsidRDefault="009A3F88" w:rsidP="009A3F88">
      <w:pPr>
        <w:spacing w:line="360" w:lineRule="auto"/>
        <w:jc w:val="both"/>
        <w:rPr>
          <w:rFonts w:ascii="Century Gothic" w:hAnsi="Century Gothic"/>
          <w:sz w:val="20"/>
          <w:szCs w:val="20"/>
          <w:lang w:eastAsia="en-US"/>
        </w:rPr>
      </w:pPr>
    </w:p>
    <w:p w14:paraId="0B98B0E9" w14:textId="77777777" w:rsidR="00213D7B" w:rsidRPr="009A3F88" w:rsidRDefault="00213D7B" w:rsidP="009A3F88">
      <w:pPr>
        <w:spacing w:line="360" w:lineRule="auto"/>
        <w:jc w:val="both"/>
        <w:rPr>
          <w:rFonts w:ascii="Century Gothic" w:hAnsi="Century Gothic"/>
          <w:sz w:val="20"/>
          <w:szCs w:val="20"/>
          <w:lang w:eastAsia="en-US"/>
        </w:rPr>
      </w:pPr>
    </w:p>
    <w:p w14:paraId="63A5C9C1" w14:textId="77777777" w:rsidR="00235E82" w:rsidRPr="00525AEC" w:rsidRDefault="00235E82" w:rsidP="009A3F88">
      <w:pPr>
        <w:spacing w:line="360" w:lineRule="auto"/>
        <w:jc w:val="both"/>
        <w:rPr>
          <w:rFonts w:ascii="Century Gothic" w:hAnsi="Century Gothic" w:cs="Century Gothic"/>
          <w:b/>
          <w:sz w:val="20"/>
          <w:szCs w:val="20"/>
        </w:rPr>
      </w:pPr>
      <w:r>
        <w:rPr>
          <w:rFonts w:ascii="Century Gothic" w:hAnsi="Century Gothic"/>
          <w:b/>
          <w:sz w:val="20"/>
        </w:rPr>
        <w:t xml:space="preserve">Legal basis for personal data processing </w:t>
      </w:r>
    </w:p>
    <w:p w14:paraId="6A39EDCB" w14:textId="77777777"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legal basis for the processing of the personal data of the persons indicated in Section 1 is Article 6(1)(f) of the GDPR. The Contracting Entity shall be entitled to process personal data for the purpose of maintaining business contacts, evaluation of tenders submitted by the Contractors and archiving of the Procedure.</w:t>
      </w:r>
    </w:p>
    <w:p w14:paraId="4B64682D" w14:textId="77777777" w:rsidR="00235E82" w:rsidRDefault="00235E82" w:rsidP="00235E82">
      <w:pPr>
        <w:spacing w:line="360" w:lineRule="auto"/>
        <w:jc w:val="both"/>
        <w:rPr>
          <w:rFonts w:ascii="Century Gothic" w:hAnsi="Century Gothic"/>
          <w:b/>
          <w:sz w:val="20"/>
          <w:szCs w:val="20"/>
        </w:rPr>
      </w:pPr>
    </w:p>
    <w:p w14:paraId="65FD619C" w14:textId="77777777"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Categories of personal data</w:t>
      </w:r>
    </w:p>
    <w:p w14:paraId="449680A7" w14:textId="77777777" w:rsidR="00235E82" w:rsidRPr="00AF096A"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following categories of personal data will be processed in relation to the persons indicated inSection 1.1)-7): basic data (name and surname).</w:t>
      </w:r>
    </w:p>
    <w:p w14:paraId="5CD25E7C" w14:textId="77777777" w:rsidR="00235E82" w:rsidRDefault="00235E82" w:rsidP="00235E82">
      <w:pPr>
        <w:spacing w:line="360" w:lineRule="auto"/>
        <w:jc w:val="both"/>
        <w:rPr>
          <w:rFonts w:ascii="Century Gothic" w:hAnsi="Century Gothic"/>
          <w:b/>
          <w:sz w:val="20"/>
          <w:szCs w:val="20"/>
        </w:rPr>
      </w:pPr>
    </w:p>
    <w:p w14:paraId="0D7F9065" w14:textId="77777777" w:rsidR="00235E82" w:rsidRPr="00A42866" w:rsidRDefault="00235E82" w:rsidP="00350F40">
      <w:pPr>
        <w:spacing w:line="360" w:lineRule="auto"/>
        <w:ind w:left="426"/>
        <w:jc w:val="both"/>
        <w:rPr>
          <w:rFonts w:ascii="Century Gothic" w:hAnsi="Century Gothic"/>
          <w:sz w:val="20"/>
          <w:szCs w:val="20"/>
        </w:rPr>
      </w:pPr>
      <w:r>
        <w:rPr>
          <w:rFonts w:ascii="Century Gothic" w:hAnsi="Century Gothic"/>
          <w:sz w:val="20"/>
        </w:rPr>
        <w:t>Moreover, in relation to:</w:t>
      </w:r>
    </w:p>
    <w:p w14:paraId="71D321E5" w14:textId="77777777" w:rsidR="00235E82" w:rsidRPr="002B0D54"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contact persons: contact details (e.g. telephone number, email address, fax);</w:t>
      </w:r>
    </w:p>
    <w:p w14:paraId="4BC838AA" w14:textId="77777777" w:rsidR="00235E82" w:rsidRPr="00350F40" w:rsidRDefault="00235E82" w:rsidP="00350F40">
      <w:pPr>
        <w:spacing w:line="360" w:lineRule="auto"/>
        <w:jc w:val="both"/>
        <w:rPr>
          <w:rFonts w:ascii="Century Gothic" w:hAnsi="Century Gothic"/>
          <w:b/>
          <w:sz w:val="20"/>
          <w:szCs w:val="20"/>
        </w:rPr>
      </w:pPr>
    </w:p>
    <w:p w14:paraId="5B32AFF1" w14:textId="77777777" w:rsidR="00235E82" w:rsidRPr="00A42866"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subcontractors:</w:t>
      </w:r>
    </w:p>
    <w:p w14:paraId="429496C1" w14:textId="77777777" w:rsidR="00235E82"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Pr>
          <w:rFonts w:ascii="Century Gothic" w:hAnsi="Century Gothic"/>
          <w:sz w:val="20"/>
        </w:rPr>
        <w:t>company name,</w:t>
      </w:r>
    </w:p>
    <w:p w14:paraId="59683AA9" w14:textId="77777777" w:rsidR="00235E82" w:rsidRPr="00213D7B"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0E9F495A" w14:textId="455BD7A4" w:rsidR="00235E82" w:rsidRPr="00213D7B"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Pr>
          <w:rFonts w:ascii="Century Gothic" w:hAnsi="Century Gothic"/>
          <w:sz w:val="20"/>
        </w:rPr>
        <w:t>address information, in particular address of residence, place of stay</w:t>
      </w:r>
      <w:r w:rsidR="0033597E">
        <w:rPr>
          <w:rFonts w:ascii="Century Gothic" w:hAnsi="Century Gothic"/>
          <w:sz w:val="20"/>
        </w:rPr>
        <w:t>;</w:t>
      </w:r>
    </w:p>
    <w:p w14:paraId="0FCDC103" w14:textId="77777777" w:rsidR="00235E82" w:rsidRPr="00213D7B" w:rsidRDefault="00235E82" w:rsidP="00350F40">
      <w:pPr>
        <w:spacing w:line="360" w:lineRule="auto"/>
        <w:contextualSpacing/>
        <w:jc w:val="both"/>
        <w:rPr>
          <w:rFonts w:ascii="Century Gothic" w:hAnsi="Century Gothic"/>
          <w:sz w:val="20"/>
          <w:szCs w:val="20"/>
        </w:rPr>
      </w:pPr>
    </w:p>
    <w:p w14:paraId="63725639" w14:textId="7EBA0CAD" w:rsidR="00235E82" w:rsidRPr="00213D7B"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 xml:space="preserve">other entities within the meaning of Chapter VI, Section </w:t>
      </w:r>
      <w:r w:rsidR="007A1287">
        <w:rPr>
          <w:rFonts w:ascii="Century Gothic" w:hAnsi="Century Gothic"/>
          <w:sz w:val="20"/>
        </w:rPr>
        <w:t>6</w:t>
      </w:r>
      <w:r>
        <w:rPr>
          <w:rFonts w:ascii="Century Gothic" w:hAnsi="Century Gothic"/>
          <w:sz w:val="20"/>
        </w:rPr>
        <w:t xml:space="preserve"> of the ToR:</w:t>
      </w:r>
    </w:p>
    <w:p w14:paraId="3462A326" w14:textId="65CC3806"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company name,</w:t>
      </w:r>
    </w:p>
    <w:p w14:paraId="4719A57F" w14:textId="77777777"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3DEED7EC" w14:textId="77777777"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data concerning identification numbers, in particular series and number of the ID card, PESEL (Personal ID No.), NIP (Tax ID No), REGON (Company Registration No),</w:t>
      </w:r>
    </w:p>
    <w:p w14:paraId="0EDE49F6" w14:textId="77777777" w:rsidR="00235E82" w:rsidRPr="00213D7B"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address information, in particular address of residence, place of stay,</w:t>
      </w:r>
    </w:p>
    <w:p w14:paraId="7188C63B" w14:textId="21A4611C" w:rsidR="00235E82" w:rsidRPr="00213D7B" w:rsidRDefault="00235E82" w:rsidP="00350F40">
      <w:pPr>
        <w:pStyle w:val="Akapitzlist"/>
        <w:numPr>
          <w:ilvl w:val="0"/>
          <w:numId w:val="52"/>
        </w:numPr>
        <w:spacing w:line="360" w:lineRule="auto"/>
        <w:ind w:left="1276" w:hanging="425"/>
        <w:contextualSpacing/>
        <w:jc w:val="both"/>
        <w:rPr>
          <w:rFonts w:ascii="Century Gothic" w:hAnsi="Century Gothic"/>
          <w:sz w:val="20"/>
          <w:szCs w:val="20"/>
        </w:rPr>
      </w:pPr>
      <w:r>
        <w:rPr>
          <w:rFonts w:ascii="Century Gothic" w:hAnsi="Century Gothic"/>
          <w:sz w:val="20"/>
        </w:rPr>
        <w:t>information on the conducted activities, in particular information on the business activities;</w:t>
      </w:r>
    </w:p>
    <w:p w14:paraId="3A2E31EF" w14:textId="77777777" w:rsidR="00213D7B" w:rsidRPr="00213D7B" w:rsidRDefault="00213D7B" w:rsidP="00213D7B">
      <w:pPr>
        <w:pStyle w:val="Akapitzlist"/>
        <w:spacing w:line="360" w:lineRule="auto"/>
        <w:ind w:left="1276"/>
        <w:contextualSpacing/>
        <w:jc w:val="both"/>
        <w:rPr>
          <w:rFonts w:ascii="Century Gothic" w:hAnsi="Century Gothic"/>
          <w:sz w:val="20"/>
          <w:szCs w:val="20"/>
        </w:rPr>
      </w:pPr>
    </w:p>
    <w:p w14:paraId="2729CCAE" w14:textId="0EEB827D" w:rsidR="00235E82" w:rsidRPr="00213D7B"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 xml:space="preserve">authorised representatives of the Contractor, other entities within the meaning of Chapter VI, Section </w:t>
      </w:r>
      <w:r w:rsidR="007A1287">
        <w:rPr>
          <w:rFonts w:ascii="Century Gothic" w:hAnsi="Century Gothic"/>
          <w:sz w:val="20"/>
        </w:rPr>
        <w:t>6</w:t>
      </w:r>
      <w:r>
        <w:rPr>
          <w:rFonts w:ascii="Century Gothic" w:hAnsi="Century Gothic"/>
          <w:sz w:val="20"/>
        </w:rPr>
        <w:t xml:space="preserve"> of the ToR or of subcontractors,</w:t>
      </w:r>
    </w:p>
    <w:p w14:paraId="099E03CF" w14:textId="77777777" w:rsidR="00235E82" w:rsidRPr="004B095D"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bookmarkStart w:id="17" w:name="_Hlk520305239"/>
      <w:r>
        <w:rPr>
          <w:rFonts w:ascii="Century Gothic" w:hAnsi="Century Gothic"/>
          <w:sz w:val="20"/>
        </w:rPr>
        <w:t>basic identification data, in particular name and surname,</w:t>
      </w:r>
    </w:p>
    <w:p w14:paraId="0E04D273"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6A0A4CBB"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Pr>
          <w:rFonts w:ascii="Century Gothic" w:hAnsi="Century Gothic"/>
          <w:sz w:val="20"/>
        </w:rPr>
        <w:t>data concerning identification numbers, in particular series and number of the ID card, PESEL (Personal ID No.),</w:t>
      </w:r>
    </w:p>
    <w:p w14:paraId="282EA2AA" w14:textId="77777777" w:rsidR="00235E82" w:rsidRPr="004B095D" w:rsidRDefault="00235E82" w:rsidP="00BE508D">
      <w:pPr>
        <w:pStyle w:val="Akapitzlist"/>
        <w:numPr>
          <w:ilvl w:val="0"/>
          <w:numId w:val="41"/>
        </w:numPr>
        <w:spacing w:line="360" w:lineRule="auto"/>
        <w:ind w:left="1276" w:hanging="425"/>
        <w:jc w:val="both"/>
        <w:rPr>
          <w:rFonts w:ascii="Century Gothic" w:hAnsi="Century Gothic"/>
          <w:sz w:val="20"/>
          <w:szCs w:val="20"/>
        </w:rPr>
      </w:pPr>
      <w:r>
        <w:rPr>
          <w:rFonts w:ascii="Century Gothic" w:hAnsi="Century Gothic"/>
          <w:sz w:val="20"/>
        </w:rPr>
        <w:t>information on the principal,</w:t>
      </w:r>
    </w:p>
    <w:p w14:paraId="2023097C"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Pr>
          <w:rFonts w:ascii="Century Gothic" w:hAnsi="Century Gothic"/>
          <w:sz w:val="20"/>
        </w:rPr>
        <w:t>place of residence;</w:t>
      </w:r>
    </w:p>
    <w:bookmarkEnd w:id="17"/>
    <w:p w14:paraId="7B2F9696" w14:textId="77777777" w:rsidR="00235E82" w:rsidRPr="00A42866" w:rsidRDefault="00235E82" w:rsidP="00235E82">
      <w:pPr>
        <w:spacing w:line="360" w:lineRule="auto"/>
        <w:contextualSpacing/>
        <w:jc w:val="both"/>
        <w:rPr>
          <w:rFonts w:ascii="Century Gothic" w:hAnsi="Century Gothic"/>
          <w:sz w:val="20"/>
          <w:szCs w:val="20"/>
        </w:rPr>
      </w:pPr>
    </w:p>
    <w:p w14:paraId="6BB0EFB3" w14:textId="77777777" w:rsidR="00235E82" w:rsidRPr="00A42866"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members of management and supervisory bodies of legal persons or partnerships,</w:t>
      </w:r>
    </w:p>
    <w:p w14:paraId="7DE8A5ED" w14:textId="77777777" w:rsidR="00235E82" w:rsidRPr="004B095D"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basic identification data, in particular name and surname,</w:t>
      </w:r>
    </w:p>
    <w:p w14:paraId="613277B2"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contact details, in particular telephone number, fax number, e-mail address,</w:t>
      </w:r>
    </w:p>
    <w:p w14:paraId="6826D894"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data concerning identification numbers, in particular PESEL (Personal ID No),</w:t>
      </w:r>
    </w:p>
    <w:p w14:paraId="354F9BB4"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rPr>
        <w:t>data on work history (in particular the function held);</w:t>
      </w:r>
    </w:p>
    <w:p w14:paraId="4A151E7C" w14:textId="77777777" w:rsidR="00235E82" w:rsidRPr="00AA6BCC" w:rsidRDefault="00235E82" w:rsidP="00235E82">
      <w:pPr>
        <w:spacing w:line="360" w:lineRule="auto"/>
        <w:contextualSpacing/>
        <w:jc w:val="both"/>
        <w:rPr>
          <w:rFonts w:ascii="Century Gothic" w:hAnsi="Century Gothic"/>
          <w:sz w:val="20"/>
          <w:szCs w:val="20"/>
        </w:rPr>
      </w:pPr>
    </w:p>
    <w:p w14:paraId="273F4993" w14:textId="77777777" w:rsidR="00235E82" w:rsidRDefault="00235E82" w:rsidP="00BE508D">
      <w:pPr>
        <w:numPr>
          <w:ilvl w:val="0"/>
          <w:numId w:val="38"/>
        </w:numPr>
        <w:spacing w:line="360" w:lineRule="auto"/>
        <w:ind w:left="851" w:hanging="425"/>
        <w:contextualSpacing/>
        <w:jc w:val="both"/>
        <w:rPr>
          <w:rFonts w:ascii="Century Gothic" w:hAnsi="Century Gothic"/>
          <w:sz w:val="20"/>
          <w:szCs w:val="20"/>
        </w:rPr>
      </w:pPr>
      <w:r>
        <w:rPr>
          <w:rFonts w:ascii="Century Gothic" w:hAnsi="Century Gothic"/>
          <w:sz w:val="20"/>
        </w:rPr>
        <w:t>Proxies:</w:t>
      </w:r>
    </w:p>
    <w:p w14:paraId="41F64DAA" w14:textId="77777777" w:rsidR="00235E82" w:rsidRPr="004B095D" w:rsidRDefault="00235E82" w:rsidP="00BE508D">
      <w:pPr>
        <w:pStyle w:val="Akapitzlist"/>
        <w:numPr>
          <w:ilvl w:val="0"/>
          <w:numId w:val="42"/>
        </w:numPr>
        <w:spacing w:line="360" w:lineRule="auto"/>
        <w:ind w:left="1276" w:hanging="425"/>
        <w:jc w:val="both"/>
        <w:rPr>
          <w:rFonts w:ascii="Century Gothic" w:hAnsi="Century Gothic"/>
          <w:sz w:val="20"/>
          <w:szCs w:val="20"/>
        </w:rPr>
      </w:pPr>
      <w:r>
        <w:rPr>
          <w:rFonts w:ascii="Century Gothic" w:hAnsi="Century Gothic"/>
          <w:sz w:val="20"/>
        </w:rPr>
        <w:t xml:space="preserve">data concerning identification numbers, in particular PESEL (Personal ID No), </w:t>
      </w:r>
    </w:p>
    <w:p w14:paraId="210E549E" w14:textId="77777777" w:rsidR="00235E82" w:rsidRPr="002B0D54" w:rsidRDefault="00235E82" w:rsidP="00BE508D">
      <w:pPr>
        <w:pStyle w:val="Akapitzlist"/>
        <w:numPr>
          <w:ilvl w:val="0"/>
          <w:numId w:val="42"/>
        </w:numPr>
        <w:spacing w:line="360" w:lineRule="auto"/>
        <w:ind w:left="1276" w:hanging="425"/>
        <w:jc w:val="both"/>
        <w:rPr>
          <w:rFonts w:ascii="Century Gothic" w:hAnsi="Century Gothic"/>
          <w:sz w:val="20"/>
          <w:szCs w:val="20"/>
        </w:rPr>
      </w:pPr>
      <w:r>
        <w:rPr>
          <w:rFonts w:ascii="Century Gothic" w:hAnsi="Century Gothic"/>
          <w:sz w:val="20"/>
        </w:rPr>
        <w:t>information on the principal.</w:t>
      </w:r>
    </w:p>
    <w:p w14:paraId="3DD0ED6B" w14:textId="77777777" w:rsidR="00235E82" w:rsidRPr="00A42866" w:rsidRDefault="00235E82" w:rsidP="00235E82">
      <w:pPr>
        <w:spacing w:line="360" w:lineRule="auto"/>
        <w:jc w:val="both"/>
        <w:rPr>
          <w:rFonts w:ascii="Century Gothic" w:hAnsi="Century Gothic"/>
          <w:sz w:val="20"/>
          <w:szCs w:val="20"/>
        </w:rPr>
      </w:pPr>
    </w:p>
    <w:p w14:paraId="1330E84F" w14:textId="77777777"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 xml:space="preserve">Recipients of personal data </w:t>
      </w:r>
    </w:p>
    <w:p w14:paraId="564CC849" w14:textId="6B96076A"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Personal data will be processed by employees or associates of the Contracting Entity. </w:t>
      </w:r>
    </w:p>
    <w:p w14:paraId="5AAC6B17" w14:textId="30994E5A"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It shall also be permissible, after the relevant contract is signed, to provide the interested parties, including other Contractors, with documents related to the Procedure, which were transferred or received during the Procedure. The final decision in this respect shall be made by the Contracting Entity.</w:t>
      </w:r>
    </w:p>
    <w:p w14:paraId="239531A4" w14:textId="637C6BAF"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concerning the persons referred to in Section 1 shall also be made available to the employees or collaborators of contractors with whom the Contracting Entity has concluded contracts or agreements for the use of IT systems provided by these contractors for the transfer or archiving of data. However, the scope of the transfer of data to these recipients is limited exclusively to the possibility of becoming acquainted with this data in connection with the provision of technical support services and failure recovery. These recipients are bound by an obligation to maintain the confidentiality of all data, including personal data.</w:t>
      </w:r>
    </w:p>
    <w:p w14:paraId="3555EE86" w14:textId="77777777" w:rsidR="00FB3315" w:rsidRPr="00350F40"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In addition, the following entities may be  the recipients of the data: members of the Contracting Entity's bodies, entities authorised on the basis of applicable laws (in particular courts, state authorities, institutions), entities providing services to the Contracting Entity on the basis of concluded contracts, in particular entities providing the Contracting Entity with IT and new technology services, postal and courier services, document destruction and archiving services, accounting and financial services.</w:t>
      </w:r>
    </w:p>
    <w:p w14:paraId="2D9E23B7" w14:textId="77777777" w:rsidR="00235E82" w:rsidRPr="0046592F" w:rsidRDefault="00235E82" w:rsidP="0046592F">
      <w:pPr>
        <w:spacing w:line="360" w:lineRule="auto"/>
        <w:jc w:val="both"/>
        <w:rPr>
          <w:rFonts w:ascii="Century Gothic" w:hAnsi="Century Gothic" w:cs="Century Gothic"/>
          <w:sz w:val="20"/>
          <w:szCs w:val="20"/>
        </w:rPr>
      </w:pPr>
    </w:p>
    <w:p w14:paraId="26CCF3BB" w14:textId="77777777" w:rsidR="00235E82" w:rsidRPr="00525AEC" w:rsidRDefault="00235E82" w:rsidP="00235E82">
      <w:pPr>
        <w:spacing w:line="360" w:lineRule="auto"/>
        <w:jc w:val="both"/>
        <w:rPr>
          <w:rFonts w:ascii="Century Gothic" w:hAnsi="Century Gothic" w:cs="Century Gothic"/>
          <w:b/>
          <w:sz w:val="20"/>
          <w:szCs w:val="20"/>
        </w:rPr>
      </w:pPr>
      <w:r>
        <w:rPr>
          <w:rFonts w:ascii="Century Gothic" w:hAnsi="Century Gothic"/>
          <w:b/>
          <w:sz w:val="20"/>
        </w:rPr>
        <w:t>Period of personal data processing</w:t>
      </w:r>
    </w:p>
    <w:p w14:paraId="1FAF1504" w14:textId="49FE7158" w:rsidR="00235E82" w:rsidRPr="0046592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Personal data will be processed for the period necessary for the selection of the Contractor in the Procedure, and after this period the data will be stored for archival purposes for the period prescribed by law. </w:t>
      </w:r>
    </w:p>
    <w:p w14:paraId="1AC60A41" w14:textId="77777777" w:rsidR="00235E82" w:rsidRPr="0046592F" w:rsidRDefault="00235E82" w:rsidP="0046592F">
      <w:pPr>
        <w:spacing w:line="360" w:lineRule="auto"/>
        <w:jc w:val="both"/>
        <w:rPr>
          <w:rFonts w:ascii="Century Gothic" w:hAnsi="Century Gothic" w:cs="Century Gothic"/>
          <w:sz w:val="20"/>
          <w:szCs w:val="20"/>
        </w:rPr>
      </w:pPr>
    </w:p>
    <w:p w14:paraId="3A842440" w14:textId="77777777" w:rsidR="00235E82" w:rsidRPr="00525AEC" w:rsidRDefault="00235E82" w:rsidP="00235E82">
      <w:pPr>
        <w:spacing w:line="360" w:lineRule="auto"/>
        <w:jc w:val="both"/>
        <w:rPr>
          <w:rFonts w:ascii="Century Gothic" w:hAnsi="Century Gothic" w:cs="Century Gothic"/>
          <w:b/>
          <w:sz w:val="20"/>
          <w:szCs w:val="20"/>
        </w:rPr>
      </w:pPr>
      <w:r>
        <w:rPr>
          <w:rFonts w:ascii="Century Gothic" w:hAnsi="Century Gothic"/>
          <w:b/>
          <w:sz w:val="20"/>
        </w:rPr>
        <w:lastRenderedPageBreak/>
        <w:t>Transfer of data to third countries or international organisations</w:t>
      </w:r>
    </w:p>
    <w:p w14:paraId="7A6F6D69" w14:textId="77777777" w:rsidR="00235E82" w:rsidRPr="0046592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Personal data may be transferred to third countries or international organisations pursuant to the applicable legislation.</w:t>
      </w:r>
    </w:p>
    <w:p w14:paraId="1FC53DE6" w14:textId="77777777" w:rsidR="00235E82" w:rsidRPr="0046592F" w:rsidRDefault="00235E82" w:rsidP="0046592F">
      <w:pPr>
        <w:spacing w:line="360" w:lineRule="auto"/>
        <w:jc w:val="both"/>
        <w:rPr>
          <w:rFonts w:ascii="Century Gothic" w:hAnsi="Century Gothic" w:cs="Century Gothic"/>
          <w:sz w:val="20"/>
          <w:szCs w:val="20"/>
        </w:rPr>
      </w:pPr>
    </w:p>
    <w:p w14:paraId="6CE451A1" w14:textId="4114FF99"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Automated decisions</w:t>
      </w:r>
    </w:p>
    <w:p w14:paraId="0E1C8CB8" w14:textId="09F55A11" w:rsidR="00235E82"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Contracting Entity does not make automated decisions and does not perform profiling based on your personal data.</w:t>
      </w:r>
    </w:p>
    <w:p w14:paraId="784F32CD" w14:textId="77777777" w:rsidR="00235E82" w:rsidRDefault="00235E82" w:rsidP="00235E82">
      <w:pPr>
        <w:spacing w:line="360" w:lineRule="auto"/>
        <w:jc w:val="both"/>
        <w:rPr>
          <w:rFonts w:ascii="Century Gothic" w:hAnsi="Century Gothic"/>
          <w:sz w:val="20"/>
          <w:szCs w:val="20"/>
        </w:rPr>
      </w:pPr>
    </w:p>
    <w:p w14:paraId="115CD903" w14:textId="4FA67CF7" w:rsidR="00235E82" w:rsidRPr="00213D7B" w:rsidRDefault="00235E82" w:rsidP="00235E82">
      <w:pPr>
        <w:spacing w:line="360" w:lineRule="auto"/>
        <w:jc w:val="both"/>
        <w:rPr>
          <w:rFonts w:ascii="Century Gothic" w:hAnsi="Century Gothic" w:cs="Century Gothic"/>
          <w:b/>
          <w:sz w:val="20"/>
          <w:szCs w:val="20"/>
        </w:rPr>
      </w:pPr>
      <w:r>
        <w:rPr>
          <w:rFonts w:ascii="Century Gothic" w:hAnsi="Century Gothic"/>
          <w:b/>
          <w:sz w:val="20"/>
        </w:rPr>
        <w:t>Rights</w:t>
      </w:r>
    </w:p>
    <w:p w14:paraId="31FE095B" w14:textId="4CECE37D" w:rsidR="00235E82" w:rsidRPr="00213D7B"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persons referred to in Section 1 1)-6) shall have the right to:</w:t>
      </w:r>
    </w:p>
    <w:p w14:paraId="79B9A38C" w14:textId="77777777" w:rsidR="00235E82" w:rsidRPr="00213D7B"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access the personal data, i. e. obtain information which data is processed, in what manner and for what purpose,</w:t>
      </w:r>
    </w:p>
    <w:p w14:paraId="61C43A9A" w14:textId="77777777" w:rsidR="00235E82" w:rsidRPr="00EB35BD"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rectify, i. e. demand the data update if it turns out that the data has been collected incorrectly or is no longer up-to-date,</w:t>
      </w:r>
    </w:p>
    <w:p w14:paraId="400912D1" w14:textId="77777777" w:rsidR="00235E82" w:rsidRPr="00CF25EA"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have the personal data deleted, i.e. demand the removal of the personal data in whole or in part. If the request is justified, the Contracting Entity shall immediately delete such data,</w:t>
      </w:r>
    </w:p>
    <w:p w14:paraId="3723B2D8" w14:textId="6CD774DF" w:rsidR="00235E82" w:rsidRPr="00B168DF"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Pr>
          <w:rFonts w:ascii="Century Gothic" w:hAnsi="Century Gothic"/>
          <w:sz w:val="20"/>
        </w:rPr>
        <w:t xml:space="preserve">restrict the processing, i. e. demand that the personal data processing be limited. The restriction of the processing may be revoked after the circumstances justifying the limitation of the processing cease to exist, </w:t>
      </w:r>
    </w:p>
    <w:p w14:paraId="6F90D6EB" w14:textId="48FA429A" w:rsidR="00235E82" w:rsidRDefault="00235E82" w:rsidP="00BE508D">
      <w:pPr>
        <w:pStyle w:val="Akapitzlist"/>
        <w:numPr>
          <w:ilvl w:val="2"/>
          <w:numId w:val="53"/>
        </w:numPr>
        <w:tabs>
          <w:tab w:val="clear" w:pos="2160"/>
        </w:tabs>
        <w:spacing w:line="360" w:lineRule="auto"/>
        <w:ind w:left="851" w:hanging="425"/>
        <w:jc w:val="both"/>
        <w:rPr>
          <w:rFonts w:ascii="Century Gothic" w:hAnsi="Century Gothic" w:cs="Century Gothic"/>
          <w:sz w:val="20"/>
          <w:szCs w:val="20"/>
        </w:rPr>
      </w:pPr>
      <w:r>
        <w:rPr>
          <w:rFonts w:ascii="Century Gothic" w:hAnsi="Century Gothic"/>
          <w:sz w:val="20"/>
        </w:rPr>
        <w:t>object to the processing, i. e. demand that the processing of personal data for the purpose indicated above is stopped if you consider that the Contracting Entity violates your rights related to the processing of the data provided,</w:t>
      </w:r>
    </w:p>
    <w:p w14:paraId="2291D608" w14:textId="760CF563" w:rsidR="00235E82" w:rsidRDefault="00235E82" w:rsidP="00BE508D">
      <w:pPr>
        <w:pStyle w:val="Akapitzlist"/>
        <w:numPr>
          <w:ilvl w:val="2"/>
          <w:numId w:val="53"/>
        </w:numPr>
        <w:tabs>
          <w:tab w:val="clear" w:pos="2160"/>
        </w:tabs>
        <w:spacing w:line="360" w:lineRule="auto"/>
        <w:ind w:left="851" w:hanging="425"/>
        <w:jc w:val="both"/>
        <w:rPr>
          <w:rFonts w:ascii="Century Gothic" w:hAnsi="Century Gothic" w:cs="Century Gothic"/>
          <w:sz w:val="20"/>
          <w:szCs w:val="20"/>
        </w:rPr>
      </w:pPr>
      <w:r>
        <w:rPr>
          <w:rFonts w:ascii="Century Gothic" w:hAnsi="Century Gothic"/>
          <w:sz w:val="20"/>
        </w:rPr>
        <w:t>file a complaint against the Contracting Entity with the President of the Office for Personal Data Protection (Prezes Urzędu Ochrony Danych Osobowych) if you believe that the processing of your personal data violates the provisions of law.</w:t>
      </w:r>
    </w:p>
    <w:p w14:paraId="763B9717" w14:textId="33AA5D3B" w:rsidR="00FB3315" w:rsidRPr="0046592F"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 xml:space="preserve">In the event that the performance of the obligations referred to in Section 12.1) above would require a disproportionate effort, the Contracting Entity may require the data subject to provide additional information to specify the request, in particular to provide the name or date of the non-public </w:t>
      </w:r>
      <w:r w:rsidR="006B0699">
        <w:rPr>
          <w:rFonts w:ascii="Century Gothic" w:hAnsi="Century Gothic"/>
          <w:sz w:val="20"/>
        </w:rPr>
        <w:t>contract award</w:t>
      </w:r>
      <w:r>
        <w:rPr>
          <w:rFonts w:ascii="Century Gothic" w:hAnsi="Century Gothic"/>
          <w:sz w:val="20"/>
        </w:rPr>
        <w:t xml:space="preserve"> procedure.</w:t>
      </w:r>
    </w:p>
    <w:p w14:paraId="6720313C" w14:textId="5D9E71B0" w:rsidR="00FB3315" w:rsidRPr="00795E05"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exercise by the data subject of the right to rectify or supplement personal data referred to in Section 12.2) above shall not result in changing the outcome of the Procedure or the provisions of the contract.</w:t>
      </w:r>
    </w:p>
    <w:p w14:paraId="6A2EC2B6" w14:textId="590DA994" w:rsidR="00FB3315" w:rsidRPr="00795E05"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t>The request referred to in Section 12.4) above shall not restrict the processing of personal data until the conclusion of the Procedure.</w:t>
      </w:r>
    </w:p>
    <w:p w14:paraId="4FCCB0AB" w14:textId="77777777" w:rsidR="00235E82" w:rsidRDefault="00235E82" w:rsidP="00235E82">
      <w:pPr>
        <w:spacing w:line="360" w:lineRule="auto"/>
        <w:jc w:val="both"/>
        <w:rPr>
          <w:rFonts w:ascii="Century Gothic" w:hAnsi="Century Gothic"/>
          <w:b/>
          <w:sz w:val="20"/>
          <w:szCs w:val="20"/>
        </w:rPr>
      </w:pPr>
    </w:p>
    <w:p w14:paraId="7AA28010" w14:textId="77777777" w:rsidR="00235E82" w:rsidRPr="009A3F88" w:rsidRDefault="00235E82" w:rsidP="00235E82">
      <w:pPr>
        <w:spacing w:line="360" w:lineRule="auto"/>
        <w:jc w:val="both"/>
        <w:rPr>
          <w:rFonts w:ascii="Century Gothic" w:hAnsi="Century Gothic" w:cs="Century Gothic"/>
          <w:b/>
          <w:sz w:val="20"/>
          <w:szCs w:val="20"/>
        </w:rPr>
      </w:pPr>
      <w:r>
        <w:rPr>
          <w:rFonts w:ascii="Century Gothic" w:hAnsi="Century Gothic"/>
          <w:b/>
          <w:sz w:val="20"/>
        </w:rPr>
        <w:t>Source of personal data</w:t>
      </w:r>
    </w:p>
    <w:p w14:paraId="4717CDE3" w14:textId="77777777" w:rsidR="00235E82" w:rsidRPr="00B168D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rPr>
      </w:pPr>
      <w:r>
        <w:rPr>
          <w:rFonts w:ascii="Century Gothic" w:hAnsi="Century Gothic"/>
          <w:sz w:val="20"/>
        </w:rPr>
        <w:lastRenderedPageBreak/>
        <w:t>The Contracting Entity obtained the personal data from the Contractor participating in the Procedure.</w:t>
      </w:r>
    </w:p>
    <w:p w14:paraId="3F6DCBA4" w14:textId="77777777" w:rsidR="00235E82" w:rsidRPr="0034681E" w:rsidRDefault="00235E82" w:rsidP="00E47F62">
      <w:pPr>
        <w:spacing w:line="360" w:lineRule="auto"/>
        <w:jc w:val="both"/>
        <w:rPr>
          <w:rFonts w:ascii="Century Gothic" w:hAnsi="Century Gothic" w:cs="Century Gothic"/>
          <w:sz w:val="20"/>
          <w:szCs w:val="20"/>
        </w:rPr>
      </w:pPr>
    </w:p>
    <w:p w14:paraId="459B08C1" w14:textId="77777777" w:rsidR="00A4051C" w:rsidRPr="00A4051C" w:rsidRDefault="00A4051C" w:rsidP="00A4051C">
      <w:pPr>
        <w:autoSpaceDE w:val="0"/>
        <w:autoSpaceDN w:val="0"/>
        <w:adjustRightInd w:val="0"/>
        <w:spacing w:line="360" w:lineRule="auto"/>
        <w:jc w:val="both"/>
        <w:rPr>
          <w:rFonts w:ascii="Century Gothic" w:hAnsi="Century Gothic"/>
          <w:sz w:val="20"/>
          <w:szCs w:val="20"/>
          <w:highlight w:val="yellow"/>
        </w:rPr>
      </w:pPr>
    </w:p>
    <w:p w14:paraId="53BF2814" w14:textId="5174FC92" w:rsidR="001D2EC9" w:rsidRDefault="00CC0AE9" w:rsidP="00CC0AE9">
      <w:pPr>
        <w:pStyle w:val="Blockquote"/>
        <w:spacing w:before="0" w:after="0" w:line="360" w:lineRule="auto"/>
        <w:ind w:left="0" w:right="0"/>
        <w:jc w:val="both"/>
        <w:rPr>
          <w:rFonts w:ascii="Century Gothic" w:hAnsi="Century Gothic" w:cs="Century Gothic"/>
          <w:bCs/>
          <w:iCs/>
          <w:kern w:val="144"/>
          <w:sz w:val="18"/>
          <w:szCs w:val="18"/>
        </w:rPr>
      </w:pPr>
      <w:r>
        <w:rPr>
          <w:rFonts w:ascii="Century Gothic" w:hAnsi="Century Gothic"/>
          <w:b/>
          <w:sz w:val="18"/>
          <w:u w:val="single"/>
        </w:rPr>
        <w:t>Appendices to the ToR</w:t>
      </w:r>
      <w:r>
        <w:rPr>
          <w:rFonts w:ascii="Century Gothic" w:hAnsi="Century Gothic"/>
          <w:b/>
          <w:i/>
          <w:sz w:val="18"/>
          <w:u w:val="single"/>
        </w:rPr>
        <w:t>:</w:t>
      </w:r>
    </w:p>
    <w:p w14:paraId="16992647" w14:textId="1371C792" w:rsidR="00AD0D7D" w:rsidRPr="004335BD" w:rsidRDefault="00AD0D7D" w:rsidP="00AD0D7D">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Appendix 1 – Draft Contract</w:t>
      </w:r>
    </w:p>
    <w:p w14:paraId="7CE135B9" w14:textId="22A71E01" w:rsidR="0046592F" w:rsidRPr="004335BD" w:rsidRDefault="0046592F"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Appendix 2 – Subject of the Contract</w:t>
      </w:r>
    </w:p>
    <w:p w14:paraId="66D70619" w14:textId="547512B6" w:rsidR="0046592F" w:rsidRPr="004335BD" w:rsidRDefault="0046592F"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Appendix 3 – “Tender” form</w:t>
      </w:r>
    </w:p>
    <w:p w14:paraId="17918461" w14:textId="7A7ECAAF" w:rsidR="00C81807" w:rsidRPr="004335BD" w:rsidRDefault="00C81807"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Appendix 4 – Professional experience</w:t>
      </w:r>
    </w:p>
    <w:p w14:paraId="5FC11521" w14:textId="48AEBD21" w:rsidR="0046592F" w:rsidRPr="004335BD" w:rsidRDefault="0046592F" w:rsidP="0046592F">
      <w:pPr>
        <w:tabs>
          <w:tab w:val="left" w:pos="1560"/>
          <w:tab w:val="left" w:pos="1843"/>
        </w:tabs>
        <w:spacing w:line="360" w:lineRule="auto"/>
        <w:ind w:left="1843" w:hanging="1843"/>
        <w:jc w:val="both"/>
        <w:rPr>
          <w:rFonts w:ascii="Century Gothic" w:hAnsi="Century Gothic" w:cs="Century Gothic"/>
          <w:sz w:val="20"/>
          <w:szCs w:val="20"/>
        </w:rPr>
      </w:pPr>
      <w:r>
        <w:rPr>
          <w:rFonts w:ascii="Century Gothic" w:hAnsi="Century Gothic"/>
          <w:sz w:val="20"/>
        </w:rPr>
        <w:t>Appendix 5 – Commitment to make resources available</w:t>
      </w:r>
    </w:p>
    <w:p w14:paraId="07C60B06" w14:textId="729A6397" w:rsidR="003C673D" w:rsidRPr="0046592F" w:rsidRDefault="003C673D" w:rsidP="0046592F">
      <w:pPr>
        <w:tabs>
          <w:tab w:val="left" w:pos="1560"/>
          <w:tab w:val="left" w:pos="1843"/>
        </w:tabs>
        <w:spacing w:line="360" w:lineRule="auto"/>
        <w:ind w:left="1843" w:hanging="1843"/>
        <w:jc w:val="both"/>
        <w:rPr>
          <w:rFonts w:ascii="Century Gothic" w:hAnsi="Century Gothic" w:cs="Century Gothic"/>
          <w:sz w:val="20"/>
          <w:szCs w:val="20"/>
        </w:rPr>
      </w:pPr>
    </w:p>
    <w:sectPr w:rsidR="003C673D" w:rsidRPr="0046592F" w:rsidSect="00D91559">
      <w:headerReference w:type="default" r:id="rId17"/>
      <w:footerReference w:type="default" r:id="rId18"/>
      <w:headerReference w:type="first" r:id="rId19"/>
      <w:pgSz w:w="11906" w:h="16838" w:code="9"/>
      <w:pgMar w:top="1418" w:right="1418" w:bottom="1418" w:left="1418"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26E5F" w14:textId="77777777" w:rsidR="00780EC0" w:rsidRDefault="00780EC0">
      <w:r>
        <w:separator/>
      </w:r>
    </w:p>
  </w:endnote>
  <w:endnote w:type="continuationSeparator" w:id="0">
    <w:p w14:paraId="4DAED2D4" w14:textId="77777777" w:rsidR="00780EC0" w:rsidRDefault="0078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00"/>
    <w:family w:val="roman"/>
    <w:notTrueType/>
    <w:pitch w:val="default"/>
  </w:font>
  <w:font w:name="Century Gothic,TimesNewRoman">
    <w:altName w:val="Century Gothic"/>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435550"/>
      <w:docPartObj>
        <w:docPartGallery w:val="Page Numbers (Bottom of Page)"/>
        <w:docPartUnique/>
      </w:docPartObj>
    </w:sdtPr>
    <w:sdtEndPr>
      <w:rPr>
        <w:rFonts w:ascii="Century Gothic" w:hAnsi="Century Gothic"/>
        <w:sz w:val="20"/>
        <w:szCs w:val="20"/>
      </w:rPr>
    </w:sdtEndPr>
    <w:sdtContent>
      <w:p w14:paraId="296149C7" w14:textId="1248863B" w:rsidR="00214F53" w:rsidRPr="00E10151" w:rsidRDefault="00214F53">
        <w:pPr>
          <w:pStyle w:val="Stopka"/>
          <w:jc w:val="right"/>
          <w:rPr>
            <w:rFonts w:ascii="Century Gothic" w:hAnsi="Century Gothic"/>
            <w:sz w:val="20"/>
            <w:szCs w:val="20"/>
          </w:rPr>
        </w:pPr>
        <w:r w:rsidRPr="00E10151">
          <w:rPr>
            <w:rFonts w:ascii="Century Gothic" w:hAnsi="Century Gothic"/>
            <w:sz w:val="20"/>
          </w:rPr>
          <w:fldChar w:fldCharType="begin"/>
        </w:r>
        <w:r w:rsidRPr="00E10151">
          <w:rPr>
            <w:rFonts w:ascii="Century Gothic" w:hAnsi="Century Gothic"/>
            <w:sz w:val="20"/>
          </w:rPr>
          <w:instrText>PAGE   \* MERGEFORMAT</w:instrText>
        </w:r>
        <w:r w:rsidRPr="00E10151">
          <w:rPr>
            <w:rFonts w:ascii="Century Gothic" w:hAnsi="Century Gothic"/>
            <w:sz w:val="20"/>
          </w:rPr>
          <w:fldChar w:fldCharType="separate"/>
        </w:r>
        <w:r w:rsidRPr="00E10151">
          <w:rPr>
            <w:rFonts w:ascii="Century Gothic" w:hAnsi="Century Gothic"/>
            <w:sz w:val="20"/>
          </w:rPr>
          <w:t>2</w:t>
        </w:r>
        <w:r w:rsidRPr="00E10151">
          <w:rPr>
            <w:rFonts w:ascii="Century Gothic" w:hAnsi="Century Gothic"/>
            <w:sz w:val="20"/>
          </w:rPr>
          <w:fldChar w:fldCharType="end"/>
        </w:r>
      </w:p>
    </w:sdtContent>
  </w:sdt>
  <w:p w14:paraId="047E8BE4" w14:textId="77777777" w:rsidR="00214F53" w:rsidRDefault="00214F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3CF29" w14:textId="77777777" w:rsidR="00780EC0" w:rsidRDefault="00780EC0">
      <w:r>
        <w:separator/>
      </w:r>
    </w:p>
  </w:footnote>
  <w:footnote w:type="continuationSeparator" w:id="0">
    <w:p w14:paraId="58D3E1AC" w14:textId="77777777" w:rsidR="00780EC0" w:rsidRDefault="0078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FB2BE" w14:textId="100A4D2D" w:rsidR="00214F53" w:rsidRPr="00285EFC" w:rsidRDefault="00214F53" w:rsidP="003B2639">
    <w:pPr>
      <w:pStyle w:val="Nagwek"/>
      <w:spacing w:line="360" w:lineRule="auto"/>
      <w:jc w:val="center"/>
      <w:rPr>
        <w:rFonts w:ascii="Century Gothic" w:hAnsi="Century Gothic" w:cs="Century Gothic"/>
        <w:sz w:val="16"/>
        <w:szCs w:val="16"/>
      </w:rPr>
    </w:pPr>
    <w:r>
      <w:rPr>
        <w:rFonts w:ascii="Century Gothic" w:hAnsi="Century Gothic"/>
        <w:sz w:val="16"/>
      </w:rPr>
      <w:t xml:space="preserve">Terms of Reference </w:t>
    </w:r>
  </w:p>
  <w:p w14:paraId="5CB8E569" w14:textId="48001E15" w:rsidR="00214F53" w:rsidRPr="00D43C97" w:rsidRDefault="00214F53" w:rsidP="003B2639">
    <w:pPr>
      <w:pBdr>
        <w:bottom w:val="single" w:sz="4" w:space="1" w:color="auto"/>
      </w:pBdr>
      <w:spacing w:line="360" w:lineRule="auto"/>
      <w:jc w:val="center"/>
      <w:rPr>
        <w:rFonts w:ascii="Century Gothic" w:hAnsi="Century Gothic" w:cs="Century Gothic"/>
        <w:sz w:val="16"/>
        <w:szCs w:val="16"/>
      </w:rPr>
    </w:pPr>
    <w:r>
      <w:rPr>
        <w:rFonts w:ascii="Century Gothic" w:hAnsi="Century Gothic"/>
        <w:sz w:val="16"/>
      </w:rPr>
      <w:t>“Balancing Services at Branice (ID 372414) Entry Point”</w:t>
    </w:r>
  </w:p>
  <w:p w14:paraId="3C45C470" w14:textId="1260A77E" w:rsidR="00214F53" w:rsidRPr="00D0390C" w:rsidRDefault="00214F53" w:rsidP="003B2639">
    <w:pPr>
      <w:pBdr>
        <w:bottom w:val="single" w:sz="4" w:space="1" w:color="auto"/>
      </w:pBdr>
      <w:spacing w:line="360" w:lineRule="auto"/>
      <w:jc w:val="center"/>
      <w:rPr>
        <w:rFonts w:ascii="Century Gothic" w:hAnsi="Century Gothic" w:cs="Century Gothic"/>
        <w:sz w:val="16"/>
        <w:szCs w:val="16"/>
      </w:rPr>
    </w:pPr>
    <w:r>
      <w:rPr>
        <w:rFonts w:ascii="Century Gothic" w:hAnsi="Century Gothic"/>
        <w:sz w:val="16"/>
      </w:rPr>
      <w:t>Procedure number: NP/2023/07/0320/PK</w:t>
    </w:r>
  </w:p>
  <w:p w14:paraId="5B8DC79D" w14:textId="77777777" w:rsidR="00214F53" w:rsidRPr="00B71A20" w:rsidRDefault="00214F53" w:rsidP="003B263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AB19B" w14:textId="77777777" w:rsidR="00214F53" w:rsidRDefault="00214F53">
    <w:pPr>
      <w:pStyle w:val="Nagwek"/>
    </w:pPr>
  </w:p>
  <w:p w14:paraId="35FC4CB1" w14:textId="77777777" w:rsidR="00214F53" w:rsidRDefault="00214F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singleLevel"/>
    <w:tmpl w:val="00000013"/>
    <w:name w:val="WW8Num19"/>
    <w:lvl w:ilvl="0">
      <w:start w:val="1"/>
      <w:numFmt w:val="upperRoman"/>
      <w:pStyle w:val="Styl1"/>
      <w:lvlText w:val="%1."/>
      <w:lvlJc w:val="left"/>
      <w:pPr>
        <w:tabs>
          <w:tab w:val="num" w:pos="567"/>
        </w:tabs>
        <w:ind w:left="567" w:hanging="567"/>
      </w:pPr>
    </w:lvl>
  </w:abstractNum>
  <w:abstractNum w:abstractNumId="1" w15:restartNumberingAfterBreak="0">
    <w:nsid w:val="00F445EA"/>
    <w:multiLevelType w:val="multilevel"/>
    <w:tmpl w:val="BD248C40"/>
    <w:lvl w:ilvl="0">
      <w:start w:val="2"/>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32C5521"/>
    <w:multiLevelType w:val="multilevel"/>
    <w:tmpl w:val="B7A25E20"/>
    <w:lvl w:ilvl="0">
      <w:start w:val="1"/>
      <w:numFmt w:val="decimal"/>
      <w:lvlText w:val="%1."/>
      <w:lvlJc w:val="left"/>
      <w:pPr>
        <w:ind w:left="360" w:hanging="360"/>
      </w:pPr>
      <w:rPr>
        <w:rFonts w:hint="default"/>
      </w:rPr>
    </w:lvl>
    <w:lvl w:ilvl="1">
      <w:start w:val="1"/>
      <w:numFmt w:val="decimal"/>
      <w:lvlText w:val="%2)"/>
      <w:lvlJc w:val="left"/>
      <w:pPr>
        <w:ind w:left="2137"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4940DE"/>
    <w:multiLevelType w:val="hybridMultilevel"/>
    <w:tmpl w:val="259C59BE"/>
    <w:lvl w:ilvl="0" w:tplc="3A9E382C">
      <w:start w:val="1"/>
      <w:numFmt w:val="decimal"/>
      <w:lvlText w:val="%1."/>
      <w:lvlJc w:val="left"/>
      <w:pPr>
        <w:tabs>
          <w:tab w:val="num" w:pos="0"/>
        </w:tabs>
        <w:ind w:left="360" w:hanging="360"/>
      </w:pPr>
      <w:rPr>
        <w:rFonts w:ascii="Century Gothic" w:hAnsi="Century Gothic" w:cs="Century Gothic" w:hint="default"/>
        <w:b w:val="0"/>
        <w:bCs w:val="0"/>
        <w:sz w:val="20"/>
        <w:szCs w:val="20"/>
      </w:rPr>
    </w:lvl>
    <w:lvl w:ilvl="1" w:tplc="04150019">
      <w:start w:val="1"/>
      <w:numFmt w:val="lowerLetter"/>
      <w:lvlText w:val="%2."/>
      <w:lvlJc w:val="left"/>
      <w:pPr>
        <w:ind w:left="900" w:hanging="360"/>
      </w:pPr>
    </w:lvl>
    <w:lvl w:ilvl="2" w:tplc="0415001B">
      <w:start w:val="1"/>
      <w:numFmt w:val="lowerRoman"/>
      <w:lvlText w:val="%3."/>
      <w:lvlJc w:val="right"/>
      <w:pPr>
        <w:ind w:left="1620" w:hanging="180"/>
      </w:pPr>
    </w:lvl>
    <w:lvl w:ilvl="3" w:tplc="0415000F">
      <w:start w:val="1"/>
      <w:numFmt w:val="decimal"/>
      <w:lvlText w:val="%4."/>
      <w:lvlJc w:val="left"/>
      <w:pPr>
        <w:ind w:left="2340" w:hanging="360"/>
      </w:pPr>
    </w:lvl>
    <w:lvl w:ilvl="4" w:tplc="04150019">
      <w:start w:val="1"/>
      <w:numFmt w:val="lowerLetter"/>
      <w:lvlText w:val="%5."/>
      <w:lvlJc w:val="left"/>
      <w:pPr>
        <w:ind w:left="3060" w:hanging="360"/>
      </w:pPr>
    </w:lvl>
    <w:lvl w:ilvl="5" w:tplc="0415001B">
      <w:start w:val="1"/>
      <w:numFmt w:val="lowerRoman"/>
      <w:lvlText w:val="%6."/>
      <w:lvlJc w:val="right"/>
      <w:pPr>
        <w:ind w:left="3780" w:hanging="180"/>
      </w:pPr>
    </w:lvl>
    <w:lvl w:ilvl="6" w:tplc="0415000F">
      <w:start w:val="1"/>
      <w:numFmt w:val="decimal"/>
      <w:lvlText w:val="%7."/>
      <w:lvlJc w:val="left"/>
      <w:pPr>
        <w:ind w:left="4500" w:hanging="360"/>
      </w:pPr>
    </w:lvl>
    <w:lvl w:ilvl="7" w:tplc="04150019">
      <w:start w:val="1"/>
      <w:numFmt w:val="lowerLetter"/>
      <w:lvlText w:val="%8."/>
      <w:lvlJc w:val="left"/>
      <w:pPr>
        <w:ind w:left="5220" w:hanging="360"/>
      </w:pPr>
    </w:lvl>
    <w:lvl w:ilvl="8" w:tplc="0415001B">
      <w:start w:val="1"/>
      <w:numFmt w:val="lowerRoman"/>
      <w:lvlText w:val="%9."/>
      <w:lvlJc w:val="right"/>
      <w:pPr>
        <w:ind w:left="5940" w:hanging="180"/>
      </w:pPr>
    </w:lvl>
  </w:abstractNum>
  <w:abstractNum w:abstractNumId="4" w15:restartNumberingAfterBreak="0">
    <w:nsid w:val="060924CD"/>
    <w:multiLevelType w:val="hybridMultilevel"/>
    <w:tmpl w:val="E9306434"/>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9AB0C9C"/>
    <w:multiLevelType w:val="hybridMultilevel"/>
    <w:tmpl w:val="BC3E1034"/>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 w15:restartNumberingAfterBreak="0">
    <w:nsid w:val="0C5953DC"/>
    <w:multiLevelType w:val="hybridMultilevel"/>
    <w:tmpl w:val="C32CF23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F9A3E91"/>
    <w:multiLevelType w:val="hybridMultilevel"/>
    <w:tmpl w:val="5FDAC952"/>
    <w:lvl w:ilvl="0" w:tplc="82D009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152263F"/>
    <w:multiLevelType w:val="multilevel"/>
    <w:tmpl w:val="D0EC83CA"/>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0A33B7"/>
    <w:multiLevelType w:val="hybridMultilevel"/>
    <w:tmpl w:val="11BCA96C"/>
    <w:lvl w:ilvl="0" w:tplc="DCA40856">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4B04A43"/>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401D61"/>
    <w:multiLevelType w:val="hybridMultilevel"/>
    <w:tmpl w:val="045A429C"/>
    <w:lvl w:ilvl="0" w:tplc="06F653B0">
      <w:start w:val="1"/>
      <w:numFmt w:val="decimal"/>
      <w:lvlText w:val="%1)"/>
      <w:lvlJc w:val="left"/>
      <w:pPr>
        <w:ind w:left="704" w:hanging="420"/>
      </w:pPr>
      <w:rPr>
        <w:rFonts w:eastAsia="Calibri"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9CF5A17"/>
    <w:multiLevelType w:val="hybridMultilevel"/>
    <w:tmpl w:val="C8141EC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BB11C74"/>
    <w:multiLevelType w:val="hybridMultilevel"/>
    <w:tmpl w:val="B7CA4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BB7BB0"/>
    <w:multiLevelType w:val="hybridMultilevel"/>
    <w:tmpl w:val="E15AE196"/>
    <w:lvl w:ilvl="0" w:tplc="B3D8F4A2">
      <w:start w:val="6"/>
      <w:numFmt w:val="decimal"/>
      <w:lvlText w:val="%1."/>
      <w:lvlJc w:val="left"/>
      <w:pPr>
        <w:tabs>
          <w:tab w:val="num" w:pos="357"/>
        </w:tabs>
        <w:ind w:left="357" w:hanging="357"/>
      </w:pPr>
      <w:rPr>
        <w:rFonts w:ascii="Century Gothic" w:hAnsi="Century Gothic" w:cs="Arial" w:hint="default"/>
        <w:b w:val="0"/>
        <w:bCs w:val="0"/>
        <w:i w:val="0"/>
        <w:iCs w:val="0"/>
        <w:sz w:val="20"/>
        <w:szCs w:val="20"/>
      </w:rPr>
    </w:lvl>
    <w:lvl w:ilvl="1" w:tplc="04150019" w:tentative="1">
      <w:start w:val="1"/>
      <w:numFmt w:val="lowerLetter"/>
      <w:lvlText w:val="%2."/>
      <w:lvlJc w:val="left"/>
      <w:pPr>
        <w:ind w:left="900" w:hanging="360"/>
      </w:pPr>
    </w:lvl>
    <w:lvl w:ilvl="2" w:tplc="0415001B" w:tentative="1">
      <w:start w:val="1"/>
      <w:numFmt w:val="lowerRoman"/>
      <w:lvlText w:val="%3."/>
      <w:lvlJc w:val="right"/>
      <w:pPr>
        <w:ind w:left="1620" w:hanging="180"/>
      </w:p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15" w15:restartNumberingAfterBreak="0">
    <w:nsid w:val="1FDB3984"/>
    <w:multiLevelType w:val="hybridMultilevel"/>
    <w:tmpl w:val="39B42B7E"/>
    <w:lvl w:ilvl="0" w:tplc="FFFFFFFF">
      <w:start w:val="1"/>
      <w:numFmt w:val="decimal"/>
      <w:lvlText w:val="%1)"/>
      <w:lvlJc w:val="left"/>
      <w:pPr>
        <w:ind w:left="717" w:hanging="360"/>
      </w:pPr>
      <w:rPr>
        <w:rFonts w:ascii="Century Gothic" w:eastAsia="Times New Roman" w:hAnsi="Century Gothic" w:cs="Century Gothic"/>
        <w:i w:val="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6" w15:restartNumberingAfterBreak="0">
    <w:nsid w:val="20E22302"/>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17" w15:restartNumberingAfterBreak="0">
    <w:nsid w:val="29427093"/>
    <w:multiLevelType w:val="hybridMultilevel"/>
    <w:tmpl w:val="277ABEC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65242A"/>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644B4D"/>
    <w:multiLevelType w:val="hybridMultilevel"/>
    <w:tmpl w:val="6756DB54"/>
    <w:lvl w:ilvl="0" w:tplc="E1400CE0">
      <w:start w:val="1"/>
      <w:numFmt w:val="decimal"/>
      <w:lvlText w:val="%1."/>
      <w:lvlJc w:val="left"/>
      <w:pPr>
        <w:tabs>
          <w:tab w:val="num" w:pos="714"/>
        </w:tabs>
        <w:ind w:left="714" w:hanging="357"/>
      </w:pPr>
      <w:rPr>
        <w:rFonts w:ascii="Century Gothic" w:hAnsi="Century Gothic" w:cs="Century Gothic" w:hint="default"/>
        <w:b w:val="0"/>
        <w:bCs w:val="0"/>
        <w:i w:val="0"/>
        <w:iCs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2C950D04"/>
    <w:multiLevelType w:val="hybridMultilevel"/>
    <w:tmpl w:val="396EC07A"/>
    <w:lvl w:ilvl="0" w:tplc="B56EB994">
      <w:start w:val="1"/>
      <w:numFmt w:val="decimal"/>
      <w:lvlText w:val="%1."/>
      <w:lvlJc w:val="left"/>
      <w:pPr>
        <w:ind w:left="1440" w:hanging="360"/>
      </w:pPr>
      <w:rPr>
        <w:rFonts w:ascii="Century Gothic" w:eastAsia="Times New Roman" w:hAnsi="Century Gothic"/>
      </w:rPr>
    </w:lvl>
    <w:lvl w:ilvl="1" w:tplc="35EC2696">
      <w:start w:val="1"/>
      <w:numFmt w:val="lowerLetter"/>
      <w:lvlText w:val="%2)"/>
      <w:lvlJc w:val="left"/>
      <w:pPr>
        <w:tabs>
          <w:tab w:val="num" w:pos="714"/>
        </w:tabs>
        <w:ind w:left="714" w:hanging="357"/>
      </w:pPr>
      <w:rPr>
        <w:rFonts w:hint="default"/>
        <w:sz w:val="20"/>
        <w:szCs w:val="20"/>
      </w:rPr>
    </w:lvl>
    <w:lvl w:ilvl="2" w:tplc="E0DE2C88">
      <w:start w:val="1"/>
      <w:numFmt w:val="lowerLetter"/>
      <w:lvlText w:val="%3)"/>
      <w:lvlJc w:val="left"/>
      <w:pPr>
        <w:tabs>
          <w:tab w:val="num" w:pos="714"/>
        </w:tabs>
        <w:ind w:left="714" w:hanging="357"/>
      </w:pPr>
      <w:rPr>
        <w:rFonts w:hint="default"/>
        <w:sz w:val="20"/>
        <w:szCs w:val="20"/>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30475F09"/>
    <w:multiLevelType w:val="hybridMultilevel"/>
    <w:tmpl w:val="2F121CF4"/>
    <w:lvl w:ilvl="0" w:tplc="3DAAF0B8">
      <w:start w:val="1"/>
      <w:numFmt w:val="decimal"/>
      <w:lvlText w:val="%1)"/>
      <w:lvlJc w:val="left"/>
      <w:pPr>
        <w:tabs>
          <w:tab w:val="num" w:pos="594"/>
        </w:tabs>
        <w:ind w:left="954" w:hanging="360"/>
      </w:pPr>
      <w:rPr>
        <w:rFonts w:eastAsia="Arial Unicode MS" w:hint="default"/>
        <w:b w:val="0"/>
        <w:bCs w:val="0"/>
      </w:rPr>
    </w:lvl>
    <w:lvl w:ilvl="1" w:tplc="04150019">
      <w:start w:val="1"/>
      <w:numFmt w:val="lowerLetter"/>
      <w:lvlText w:val="%2."/>
      <w:lvlJc w:val="left"/>
      <w:pPr>
        <w:tabs>
          <w:tab w:val="num" w:pos="1494"/>
        </w:tabs>
        <w:ind w:left="1494" w:hanging="360"/>
      </w:pPr>
    </w:lvl>
    <w:lvl w:ilvl="2" w:tplc="0415001B">
      <w:start w:val="1"/>
      <w:numFmt w:val="lowerRoman"/>
      <w:lvlText w:val="%3."/>
      <w:lvlJc w:val="right"/>
      <w:pPr>
        <w:tabs>
          <w:tab w:val="num" w:pos="2214"/>
        </w:tabs>
        <w:ind w:left="2214" w:hanging="180"/>
      </w:pPr>
    </w:lvl>
    <w:lvl w:ilvl="3" w:tplc="0415000F">
      <w:start w:val="1"/>
      <w:numFmt w:val="decimal"/>
      <w:lvlText w:val="%4."/>
      <w:lvlJc w:val="left"/>
      <w:pPr>
        <w:tabs>
          <w:tab w:val="num" w:pos="2934"/>
        </w:tabs>
        <w:ind w:left="2934" w:hanging="360"/>
      </w:pPr>
    </w:lvl>
    <w:lvl w:ilvl="4" w:tplc="04150019">
      <w:start w:val="1"/>
      <w:numFmt w:val="lowerLetter"/>
      <w:lvlText w:val="%5."/>
      <w:lvlJc w:val="left"/>
      <w:pPr>
        <w:tabs>
          <w:tab w:val="num" w:pos="3654"/>
        </w:tabs>
        <w:ind w:left="3654" w:hanging="360"/>
      </w:pPr>
    </w:lvl>
    <w:lvl w:ilvl="5" w:tplc="0415001B">
      <w:start w:val="1"/>
      <w:numFmt w:val="lowerRoman"/>
      <w:lvlText w:val="%6."/>
      <w:lvlJc w:val="right"/>
      <w:pPr>
        <w:tabs>
          <w:tab w:val="num" w:pos="4374"/>
        </w:tabs>
        <w:ind w:left="4374" w:hanging="180"/>
      </w:pPr>
    </w:lvl>
    <w:lvl w:ilvl="6" w:tplc="0415000F">
      <w:start w:val="1"/>
      <w:numFmt w:val="decimal"/>
      <w:lvlText w:val="%7."/>
      <w:lvlJc w:val="left"/>
      <w:pPr>
        <w:tabs>
          <w:tab w:val="num" w:pos="5094"/>
        </w:tabs>
        <w:ind w:left="5094" w:hanging="360"/>
      </w:pPr>
    </w:lvl>
    <w:lvl w:ilvl="7" w:tplc="04150019">
      <w:start w:val="1"/>
      <w:numFmt w:val="lowerLetter"/>
      <w:lvlText w:val="%8."/>
      <w:lvlJc w:val="left"/>
      <w:pPr>
        <w:tabs>
          <w:tab w:val="num" w:pos="5814"/>
        </w:tabs>
        <w:ind w:left="5814" w:hanging="360"/>
      </w:pPr>
    </w:lvl>
    <w:lvl w:ilvl="8" w:tplc="0415001B">
      <w:start w:val="1"/>
      <w:numFmt w:val="lowerRoman"/>
      <w:lvlText w:val="%9."/>
      <w:lvlJc w:val="right"/>
      <w:pPr>
        <w:tabs>
          <w:tab w:val="num" w:pos="6534"/>
        </w:tabs>
        <w:ind w:left="6534" w:hanging="180"/>
      </w:pPr>
    </w:lvl>
  </w:abstractNum>
  <w:abstractNum w:abstractNumId="22" w15:restartNumberingAfterBreak="0">
    <w:nsid w:val="31A119FE"/>
    <w:multiLevelType w:val="hybridMultilevel"/>
    <w:tmpl w:val="DEF8521C"/>
    <w:lvl w:ilvl="0" w:tplc="A0267C10">
      <w:start w:val="1"/>
      <w:numFmt w:val="decimal"/>
      <w:lvlText w:val="%1."/>
      <w:lvlJc w:val="left"/>
      <w:pPr>
        <w:tabs>
          <w:tab w:val="num" w:pos="360"/>
        </w:tabs>
        <w:ind w:left="360" w:hanging="360"/>
      </w:pPr>
      <w:rPr>
        <w:rFonts w:ascii="Century Gothic" w:hAnsi="Century Gothic" w:cs="Century Gothic" w:hint="default"/>
        <w:b w:val="0"/>
        <w:bCs w:val="0"/>
        <w:i w:val="0"/>
        <w:iCs w:val="0"/>
        <w:sz w:val="20"/>
        <w:szCs w:val="20"/>
      </w:rPr>
    </w:lvl>
    <w:lvl w:ilvl="1" w:tplc="F042A7D8">
      <w:start w:val="1"/>
      <w:numFmt w:val="lowerLetter"/>
      <w:lvlText w:val="%2."/>
      <w:lvlJc w:val="left"/>
      <w:pPr>
        <w:tabs>
          <w:tab w:val="num" w:pos="1440"/>
        </w:tabs>
        <w:ind w:left="1440" w:hanging="360"/>
      </w:pPr>
    </w:lvl>
    <w:lvl w:ilvl="2" w:tplc="19042606">
      <w:start w:val="1"/>
      <w:numFmt w:val="lowerRoman"/>
      <w:lvlText w:val="%3."/>
      <w:lvlJc w:val="right"/>
      <w:pPr>
        <w:tabs>
          <w:tab w:val="num" w:pos="2160"/>
        </w:tabs>
        <w:ind w:left="2160" w:hanging="180"/>
      </w:pPr>
    </w:lvl>
    <w:lvl w:ilvl="3" w:tplc="7932E300">
      <w:start w:val="1"/>
      <w:numFmt w:val="decimal"/>
      <w:lvlText w:val="%4."/>
      <w:lvlJc w:val="left"/>
      <w:pPr>
        <w:tabs>
          <w:tab w:val="num" w:pos="2880"/>
        </w:tabs>
        <w:ind w:left="2880" w:hanging="360"/>
      </w:pPr>
    </w:lvl>
    <w:lvl w:ilvl="4" w:tplc="A106F1F6">
      <w:start w:val="1"/>
      <w:numFmt w:val="lowerLetter"/>
      <w:lvlText w:val="%5."/>
      <w:lvlJc w:val="left"/>
      <w:pPr>
        <w:tabs>
          <w:tab w:val="num" w:pos="3600"/>
        </w:tabs>
        <w:ind w:left="3600" w:hanging="360"/>
      </w:pPr>
    </w:lvl>
    <w:lvl w:ilvl="5" w:tplc="C06EE828">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2494CBF"/>
    <w:multiLevelType w:val="hybridMultilevel"/>
    <w:tmpl w:val="F6281994"/>
    <w:lvl w:ilvl="0" w:tplc="4A24D83A">
      <w:start w:val="1"/>
      <w:numFmt w:val="decimal"/>
      <w:lvlText w:val="%1."/>
      <w:lvlJc w:val="left"/>
      <w:pPr>
        <w:tabs>
          <w:tab w:val="num" w:pos="357"/>
        </w:tabs>
        <w:ind w:left="357" w:hanging="357"/>
      </w:pPr>
      <w:rPr>
        <w:rFonts w:hint="default"/>
        <w:b w:val="0"/>
        <w:bCs w:val="0"/>
        <w:i w:val="0"/>
        <w:iCs w:val="0"/>
      </w:rPr>
    </w:lvl>
    <w:lvl w:ilvl="1" w:tplc="04150013">
      <w:start w:val="1"/>
      <w:numFmt w:val="upperRoman"/>
      <w:lvlText w:val="%2."/>
      <w:lvlJc w:val="right"/>
      <w:pPr>
        <w:tabs>
          <w:tab w:val="num" w:pos="1260"/>
        </w:tabs>
        <w:ind w:left="1260" w:hanging="180"/>
      </w:p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33C84D10"/>
    <w:multiLevelType w:val="hybridMultilevel"/>
    <w:tmpl w:val="31969858"/>
    <w:lvl w:ilvl="0" w:tplc="EA10132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36E52C3D"/>
    <w:multiLevelType w:val="hybridMultilevel"/>
    <w:tmpl w:val="0CFC7552"/>
    <w:lvl w:ilvl="0" w:tplc="906CEDA2">
      <w:start w:val="1"/>
      <w:numFmt w:val="decimal"/>
      <w:lvlText w:val="%1)"/>
      <w:lvlJc w:val="left"/>
      <w:pPr>
        <w:ind w:left="1211"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6" w15:restartNumberingAfterBreak="0">
    <w:nsid w:val="399D6874"/>
    <w:multiLevelType w:val="multilevel"/>
    <w:tmpl w:val="D0EC83CA"/>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2F3FED"/>
    <w:multiLevelType w:val="hybridMultilevel"/>
    <w:tmpl w:val="DFC0648E"/>
    <w:lvl w:ilvl="0" w:tplc="04150011">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B474DBD"/>
    <w:multiLevelType w:val="hybridMultilevel"/>
    <w:tmpl w:val="B588B356"/>
    <w:lvl w:ilvl="0" w:tplc="27B6DCE6">
      <w:start w:val="1"/>
      <w:numFmt w:val="decimal"/>
      <w:lvlText w:val="%1."/>
      <w:lvlJc w:val="left"/>
      <w:pPr>
        <w:ind w:left="720" w:hanging="360"/>
      </w:pPr>
      <w:rPr>
        <w:rFonts w:hint="default"/>
      </w:rPr>
    </w:lvl>
    <w:lvl w:ilvl="1" w:tplc="04150011">
      <w:start w:val="1"/>
      <w:numFmt w:val="lowerLetter"/>
      <w:lvlText w:val="%2."/>
      <w:lvlJc w:val="left"/>
      <w:pPr>
        <w:ind w:left="1440" w:hanging="360"/>
      </w:pPr>
    </w:lvl>
    <w:lvl w:ilvl="2" w:tplc="B956B714">
      <w:start w:val="1"/>
      <w:numFmt w:val="lowerRoman"/>
      <w:lvlText w:val="%3."/>
      <w:lvlJc w:val="right"/>
      <w:pPr>
        <w:ind w:left="2160" w:hanging="180"/>
      </w:pPr>
    </w:lvl>
    <w:lvl w:ilvl="3" w:tplc="2F18FBDE">
      <w:start w:val="1"/>
      <w:numFmt w:val="decimal"/>
      <w:lvlText w:val="%4."/>
      <w:lvlJc w:val="left"/>
      <w:pPr>
        <w:ind w:left="2880" w:hanging="360"/>
      </w:pPr>
    </w:lvl>
    <w:lvl w:ilvl="4" w:tplc="BCCA0D3E">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CDE581C"/>
    <w:multiLevelType w:val="hybridMultilevel"/>
    <w:tmpl w:val="39B42B7E"/>
    <w:lvl w:ilvl="0" w:tplc="0ADABD14">
      <w:start w:val="1"/>
      <w:numFmt w:val="decimal"/>
      <w:lvlText w:val="%1)"/>
      <w:lvlJc w:val="left"/>
      <w:pPr>
        <w:ind w:left="717" w:hanging="360"/>
      </w:pPr>
      <w:rPr>
        <w:rFonts w:ascii="Century Gothic" w:eastAsia="Times New Roman" w:hAnsi="Century Gothic" w:cs="Century Gothic"/>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3F8A5B96"/>
    <w:multiLevelType w:val="hybridMultilevel"/>
    <w:tmpl w:val="9718EB2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05B1D61"/>
    <w:multiLevelType w:val="hybridMultilevel"/>
    <w:tmpl w:val="BC5A4C82"/>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32" w15:restartNumberingAfterBreak="0">
    <w:nsid w:val="40DA35AE"/>
    <w:multiLevelType w:val="hybridMultilevel"/>
    <w:tmpl w:val="6BF4D42E"/>
    <w:lvl w:ilvl="0" w:tplc="393E54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1D00A10"/>
    <w:multiLevelType w:val="hybridMultilevel"/>
    <w:tmpl w:val="E2AA3ECE"/>
    <w:lvl w:ilvl="0" w:tplc="04150005">
      <w:start w:val="1"/>
      <w:numFmt w:val="decimal"/>
      <w:lvlText w:val="%1."/>
      <w:lvlJc w:val="left"/>
      <w:pPr>
        <w:tabs>
          <w:tab w:val="num" w:pos="720"/>
        </w:tabs>
        <w:ind w:left="720" w:hanging="360"/>
      </w:pPr>
      <w:rPr>
        <w:rFonts w:hint="default"/>
      </w:rPr>
    </w:lvl>
    <w:lvl w:ilvl="1" w:tplc="04150003">
      <w:start w:val="1"/>
      <w:numFmt w:val="lowerRoman"/>
      <w:lvlText w:val="%2)"/>
      <w:lvlJc w:val="left"/>
      <w:pPr>
        <w:ind w:left="1800" w:hanging="720"/>
      </w:pPr>
      <w:rPr>
        <w:rFonts w:hint="default"/>
      </w:r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34" w15:restartNumberingAfterBreak="0">
    <w:nsid w:val="420B514F"/>
    <w:multiLevelType w:val="hybridMultilevel"/>
    <w:tmpl w:val="18BEAB52"/>
    <w:lvl w:ilvl="0" w:tplc="0058A27C">
      <w:start w:val="1"/>
      <w:numFmt w:val="decimal"/>
      <w:lvlText w:val="%1."/>
      <w:lvlJc w:val="center"/>
      <w:pPr>
        <w:tabs>
          <w:tab w:val="num" w:pos="357"/>
        </w:tabs>
        <w:ind w:left="357" w:hanging="357"/>
      </w:pPr>
      <w:rPr>
        <w:rFonts w:ascii="Century Gothic" w:eastAsia="Times New Roman" w:hAnsi="Century Gothic"/>
        <w:b w:val="0"/>
        <w:bCs w:val="0"/>
        <w:i w:val="0"/>
        <w:iCs w:val="0"/>
        <w:sz w:val="20"/>
        <w:szCs w:val="20"/>
      </w:rPr>
    </w:lvl>
    <w:lvl w:ilvl="1" w:tplc="04150011">
      <w:start w:val="1"/>
      <w:numFmt w:val="decimal"/>
      <w:lvlText w:val="%2)"/>
      <w:lvlJc w:val="left"/>
      <w:pPr>
        <w:tabs>
          <w:tab w:val="num" w:pos="1066"/>
        </w:tabs>
        <w:ind w:left="1066" w:hanging="357"/>
      </w:pPr>
      <w:rPr>
        <w:rFonts w:hint="default"/>
        <w:b w:val="0"/>
        <w:bCs w:val="0"/>
        <w:i w:val="0"/>
        <w:iCs w:val="0"/>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32701CD"/>
    <w:multiLevelType w:val="hybridMultilevel"/>
    <w:tmpl w:val="1E54F022"/>
    <w:lvl w:ilvl="0" w:tplc="0415000F">
      <w:start w:val="1"/>
      <w:numFmt w:val="decimal"/>
      <w:lvlText w:val="%1."/>
      <w:lvlJc w:val="left"/>
      <w:pPr>
        <w:ind w:left="720" w:hanging="360"/>
      </w:pPr>
    </w:lvl>
    <w:lvl w:ilvl="1" w:tplc="4E0E0168">
      <w:start w:val="1"/>
      <w:numFmt w:val="decimal"/>
      <w:lvlText w:val="%2."/>
      <w:lvlJc w:val="left"/>
      <w:pPr>
        <w:ind w:left="1440" w:hanging="360"/>
      </w:pPr>
      <w:rPr>
        <w:i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2B3361"/>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37" w15:restartNumberingAfterBreak="0">
    <w:nsid w:val="46FD295E"/>
    <w:multiLevelType w:val="hybridMultilevel"/>
    <w:tmpl w:val="2AC88A46"/>
    <w:lvl w:ilvl="0" w:tplc="D62277B0">
      <w:start w:val="1"/>
      <w:numFmt w:val="decimal"/>
      <w:lvlText w:val="%1."/>
      <w:lvlJc w:val="left"/>
      <w:pPr>
        <w:ind w:left="720" w:hanging="36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055DAA"/>
    <w:multiLevelType w:val="hybridMultilevel"/>
    <w:tmpl w:val="B5E82CEC"/>
    <w:lvl w:ilvl="0" w:tplc="19089C66">
      <w:start w:val="1"/>
      <w:numFmt w:val="decimal"/>
      <w:lvlText w:val="%1."/>
      <w:lvlJc w:val="left"/>
      <w:pPr>
        <w:tabs>
          <w:tab w:val="num" w:pos="357"/>
        </w:tabs>
        <w:ind w:left="357" w:hanging="357"/>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47873E9C"/>
    <w:multiLevelType w:val="hybridMultilevel"/>
    <w:tmpl w:val="F8A8DFB6"/>
    <w:lvl w:ilvl="0" w:tplc="DEF61908">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4813569C"/>
    <w:multiLevelType w:val="hybridMultilevel"/>
    <w:tmpl w:val="AE6E2A70"/>
    <w:lvl w:ilvl="0" w:tplc="F97830FC">
      <w:start w:val="1"/>
      <w:numFmt w:val="bullet"/>
      <w:lvlText w:val="-"/>
      <w:lvlJc w:val="left"/>
      <w:pPr>
        <w:ind w:left="1437" w:hanging="360"/>
      </w:pPr>
      <w:rPr>
        <w:rFonts w:ascii="Century Gothic" w:hAnsi="Century Gothic"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41" w15:restartNumberingAfterBreak="0">
    <w:nsid w:val="486F0B16"/>
    <w:multiLevelType w:val="hybridMultilevel"/>
    <w:tmpl w:val="FE5E0470"/>
    <w:lvl w:ilvl="0" w:tplc="DEF29418">
      <w:start w:val="13"/>
      <w:numFmt w:val="decimal"/>
      <w:lvlText w:val="%1."/>
      <w:lvlJc w:val="left"/>
      <w:pPr>
        <w:tabs>
          <w:tab w:val="num" w:pos="357"/>
        </w:tabs>
        <w:ind w:left="357" w:hanging="357"/>
      </w:pPr>
      <w:rPr>
        <w:rFonts w:ascii="Arial" w:hAnsi="Arial" w:cs="Arial" w:hint="default"/>
        <w:b w:val="0"/>
        <w:bCs w:val="0"/>
        <w:i w:val="0"/>
        <w:iCs w:val="0"/>
        <w:sz w:val="22"/>
        <w:szCs w:val="22"/>
      </w:rPr>
    </w:lvl>
    <w:lvl w:ilvl="1" w:tplc="E1400CE0">
      <w:start w:val="1"/>
      <w:numFmt w:val="decimal"/>
      <w:lvlText w:val="%2."/>
      <w:lvlJc w:val="left"/>
      <w:pPr>
        <w:tabs>
          <w:tab w:val="num" w:pos="357"/>
        </w:tabs>
        <w:ind w:left="357" w:hanging="357"/>
      </w:pPr>
      <w:rPr>
        <w:rFonts w:ascii="Century Gothic" w:hAnsi="Century Gothic" w:cs="Century Gothic" w:hint="default"/>
        <w:b w:val="0"/>
        <w:bCs w:val="0"/>
        <w:i w:val="0"/>
        <w:iCs w:val="0"/>
        <w:sz w:val="20"/>
        <w:szCs w:val="20"/>
      </w:rPr>
    </w:lvl>
    <w:lvl w:ilvl="2" w:tplc="0415000F">
      <w:start w:val="1"/>
      <w:numFmt w:val="decimal"/>
      <w:lvlText w:val="%3."/>
      <w:lvlJc w:val="left"/>
      <w:pPr>
        <w:tabs>
          <w:tab w:val="num" w:pos="2340"/>
        </w:tabs>
        <w:ind w:left="2340" w:hanging="360"/>
      </w:pPr>
      <w:rPr>
        <w:rFonts w:hint="default"/>
        <w:b w:val="0"/>
        <w:bCs w:val="0"/>
        <w:i w:val="0"/>
        <w:iCs w:val="0"/>
        <w:sz w:val="20"/>
        <w:szCs w:val="20"/>
      </w:rPr>
    </w:lvl>
    <w:lvl w:ilvl="3" w:tplc="0415000F">
      <w:start w:val="17"/>
      <w:numFmt w:val="upperRoman"/>
      <w:lvlText w:val="%4."/>
      <w:lvlJc w:val="left"/>
      <w:pPr>
        <w:tabs>
          <w:tab w:val="num" w:pos="3240"/>
        </w:tabs>
        <w:ind w:left="3240" w:hanging="720"/>
      </w:pPr>
      <w:rPr>
        <w:rFonts w:hint="default"/>
      </w:rPr>
    </w:lvl>
    <w:lvl w:ilvl="4" w:tplc="3EFE11A6">
      <w:start w:val="1"/>
      <w:numFmt w:val="decimal"/>
      <w:lvlText w:val="%5."/>
      <w:lvlJc w:val="left"/>
      <w:pPr>
        <w:tabs>
          <w:tab w:val="num" w:pos="3600"/>
        </w:tabs>
        <w:ind w:left="3600" w:hanging="360"/>
      </w:pPr>
      <w:rPr>
        <w:rFonts w:ascii="Century Gothic" w:eastAsia="Times New Roman" w:hAnsi="Century Gothic"/>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48720DE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87915EC"/>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44" w15:restartNumberingAfterBreak="0">
    <w:nsid w:val="49CD0082"/>
    <w:multiLevelType w:val="hybridMultilevel"/>
    <w:tmpl w:val="45764648"/>
    <w:lvl w:ilvl="0" w:tplc="8B70F404">
      <w:start w:val="1"/>
      <w:numFmt w:val="upperRoman"/>
      <w:lvlText w:val="%1."/>
      <w:lvlJc w:val="left"/>
      <w:pPr>
        <w:tabs>
          <w:tab w:val="num" w:pos="709"/>
        </w:tabs>
        <w:ind w:left="709" w:hanging="567"/>
      </w:pPr>
      <w:rPr>
        <w:rFonts w:ascii="Century Gothic" w:hAnsi="Century Gothic" w:cs="Century Gothic" w:hint="default"/>
        <w:b/>
        <w:bCs/>
        <w:color w:val="auto"/>
        <w:sz w:val="20"/>
        <w:szCs w:val="20"/>
      </w:rPr>
    </w:lvl>
    <w:lvl w:ilvl="1" w:tplc="8646B71C">
      <w:start w:val="1"/>
      <w:numFmt w:val="decimal"/>
      <w:lvlText w:val="%2."/>
      <w:lvlJc w:val="left"/>
      <w:pPr>
        <w:tabs>
          <w:tab w:val="num" w:pos="284"/>
        </w:tabs>
        <w:ind w:left="284" w:hanging="284"/>
      </w:pPr>
      <w:rPr>
        <w:rFonts w:hint="default"/>
        <w:b w:val="0"/>
        <w:bCs w:val="0"/>
      </w:rPr>
    </w:lvl>
    <w:lvl w:ilvl="2" w:tplc="04150011">
      <w:start w:val="1"/>
      <w:numFmt w:val="decimal"/>
      <w:lvlText w:val="%3)"/>
      <w:lvlJc w:val="left"/>
      <w:pPr>
        <w:tabs>
          <w:tab w:val="num" w:pos="786"/>
        </w:tabs>
        <w:ind w:left="786" w:hanging="360"/>
      </w:pPr>
      <w:rPr>
        <w:rFonts w:hint="default"/>
      </w:rPr>
    </w:lvl>
    <w:lvl w:ilvl="3" w:tplc="04150017">
      <w:start w:val="1"/>
      <w:numFmt w:val="lowerLetter"/>
      <w:lvlText w:val="%4)"/>
      <w:lvlJc w:val="left"/>
      <w:pPr>
        <w:tabs>
          <w:tab w:val="num" w:pos="786"/>
        </w:tabs>
        <w:ind w:left="786" w:hanging="360"/>
      </w:pPr>
      <w:rPr>
        <w:rFonts w:hint="default"/>
        <w:b w:val="0"/>
        <w:bCs w:val="0"/>
        <w:sz w:val="20"/>
        <w:szCs w:val="20"/>
      </w:rPr>
    </w:lvl>
    <w:lvl w:ilvl="4" w:tplc="04150019">
      <w:start w:val="1"/>
      <w:numFmt w:val="lowerLetter"/>
      <w:lvlText w:val="%5."/>
      <w:lvlJc w:val="left"/>
      <w:pPr>
        <w:tabs>
          <w:tab w:val="num" w:pos="644"/>
        </w:tabs>
        <w:ind w:left="644" w:hanging="360"/>
      </w:pPr>
    </w:lvl>
    <w:lvl w:ilvl="5" w:tplc="0415001B">
      <w:start w:val="1"/>
      <w:numFmt w:val="lowerRoman"/>
      <w:lvlText w:val="%6."/>
      <w:lvlJc w:val="right"/>
      <w:pPr>
        <w:tabs>
          <w:tab w:val="num" w:pos="3060"/>
        </w:tabs>
        <w:ind w:left="3060" w:hanging="180"/>
      </w:pPr>
    </w:lvl>
    <w:lvl w:ilvl="6" w:tplc="0415000F">
      <w:start w:val="1"/>
      <w:numFmt w:val="decimal"/>
      <w:lvlText w:val="%7."/>
      <w:lvlJc w:val="left"/>
      <w:pPr>
        <w:tabs>
          <w:tab w:val="num" w:pos="3780"/>
        </w:tabs>
        <w:ind w:left="3780" w:hanging="360"/>
      </w:pPr>
      <w:rPr>
        <w:rFonts w:hint="default"/>
        <w:color w:val="auto"/>
      </w:rPr>
    </w:lvl>
    <w:lvl w:ilvl="7" w:tplc="04150019">
      <w:start w:val="1"/>
      <w:numFmt w:val="lowerLetter"/>
      <w:lvlText w:val="%8."/>
      <w:lvlJc w:val="left"/>
      <w:pPr>
        <w:tabs>
          <w:tab w:val="num" w:pos="4500"/>
        </w:tabs>
        <w:ind w:left="4500" w:hanging="360"/>
      </w:pPr>
    </w:lvl>
    <w:lvl w:ilvl="8" w:tplc="0415001B">
      <w:start w:val="1"/>
      <w:numFmt w:val="lowerRoman"/>
      <w:lvlText w:val="%9."/>
      <w:lvlJc w:val="right"/>
      <w:pPr>
        <w:tabs>
          <w:tab w:val="num" w:pos="5220"/>
        </w:tabs>
        <w:ind w:left="5220" w:hanging="180"/>
      </w:pPr>
    </w:lvl>
  </w:abstractNum>
  <w:abstractNum w:abstractNumId="45" w15:restartNumberingAfterBreak="0">
    <w:nsid w:val="4A0601CC"/>
    <w:multiLevelType w:val="hybridMultilevel"/>
    <w:tmpl w:val="A1EA2C0E"/>
    <w:lvl w:ilvl="0" w:tplc="0B86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C6910D1"/>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47" w15:restartNumberingAfterBreak="0">
    <w:nsid w:val="4DBC7041"/>
    <w:multiLevelType w:val="hybridMultilevel"/>
    <w:tmpl w:val="A1501162"/>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551C5394"/>
    <w:multiLevelType w:val="hybridMultilevel"/>
    <w:tmpl w:val="9A24F9B2"/>
    <w:lvl w:ilvl="0" w:tplc="B0FAE26C">
      <w:start w:val="1"/>
      <w:numFmt w:val="decimal"/>
      <w:lvlText w:val="%1."/>
      <w:lvlJc w:val="left"/>
      <w:pPr>
        <w:tabs>
          <w:tab w:val="num" w:pos="644"/>
        </w:tabs>
        <w:ind w:left="644" w:hanging="360"/>
      </w:pPr>
      <w:rPr>
        <w:rFonts w:hint="default"/>
        <w:b w:val="0"/>
      </w:rPr>
    </w:lvl>
    <w:lvl w:ilvl="1" w:tplc="138425DA">
      <w:start w:val="1"/>
      <w:numFmt w:val="lowerLetter"/>
      <w:lvlText w:val="%2."/>
      <w:lvlJc w:val="left"/>
      <w:pPr>
        <w:tabs>
          <w:tab w:val="num" w:pos="1443"/>
        </w:tabs>
        <w:ind w:left="1443" w:hanging="360"/>
      </w:pPr>
    </w:lvl>
    <w:lvl w:ilvl="2" w:tplc="0415001B">
      <w:start w:val="1"/>
      <w:numFmt w:val="lowerRoman"/>
      <w:lvlText w:val="%3."/>
      <w:lvlJc w:val="right"/>
      <w:pPr>
        <w:tabs>
          <w:tab w:val="num" w:pos="2163"/>
        </w:tabs>
        <w:ind w:left="2163" w:hanging="180"/>
      </w:pPr>
    </w:lvl>
    <w:lvl w:ilvl="3" w:tplc="0415000F">
      <w:start w:val="1"/>
      <w:numFmt w:val="decimal"/>
      <w:lvlText w:val="%4."/>
      <w:lvlJc w:val="left"/>
      <w:pPr>
        <w:tabs>
          <w:tab w:val="num" w:pos="2883"/>
        </w:tabs>
        <w:ind w:left="2883" w:hanging="360"/>
      </w:pPr>
    </w:lvl>
    <w:lvl w:ilvl="4" w:tplc="04150019">
      <w:start w:val="1"/>
      <w:numFmt w:val="lowerLetter"/>
      <w:lvlText w:val="%5."/>
      <w:lvlJc w:val="left"/>
      <w:pPr>
        <w:tabs>
          <w:tab w:val="num" w:pos="3603"/>
        </w:tabs>
        <w:ind w:left="3603" w:hanging="360"/>
      </w:pPr>
    </w:lvl>
    <w:lvl w:ilvl="5" w:tplc="0415001B">
      <w:start w:val="1"/>
      <w:numFmt w:val="lowerRoman"/>
      <w:lvlText w:val="%6."/>
      <w:lvlJc w:val="right"/>
      <w:pPr>
        <w:tabs>
          <w:tab w:val="num" w:pos="4323"/>
        </w:tabs>
        <w:ind w:left="4323" w:hanging="180"/>
      </w:pPr>
    </w:lvl>
    <w:lvl w:ilvl="6" w:tplc="0415000F">
      <w:start w:val="1"/>
      <w:numFmt w:val="decimal"/>
      <w:lvlText w:val="%7."/>
      <w:lvlJc w:val="left"/>
      <w:pPr>
        <w:tabs>
          <w:tab w:val="num" w:pos="5043"/>
        </w:tabs>
        <w:ind w:left="5043" w:hanging="360"/>
      </w:pPr>
    </w:lvl>
    <w:lvl w:ilvl="7" w:tplc="04150019">
      <w:start w:val="1"/>
      <w:numFmt w:val="lowerLetter"/>
      <w:lvlText w:val="%8."/>
      <w:lvlJc w:val="left"/>
      <w:pPr>
        <w:tabs>
          <w:tab w:val="num" w:pos="5763"/>
        </w:tabs>
        <w:ind w:left="5763" w:hanging="360"/>
      </w:pPr>
    </w:lvl>
    <w:lvl w:ilvl="8" w:tplc="0415001B">
      <w:start w:val="1"/>
      <w:numFmt w:val="lowerRoman"/>
      <w:lvlText w:val="%9."/>
      <w:lvlJc w:val="right"/>
      <w:pPr>
        <w:tabs>
          <w:tab w:val="num" w:pos="6483"/>
        </w:tabs>
        <w:ind w:left="6483" w:hanging="180"/>
      </w:pPr>
    </w:lvl>
  </w:abstractNum>
  <w:abstractNum w:abstractNumId="49" w15:restartNumberingAfterBreak="0">
    <w:nsid w:val="55876975"/>
    <w:multiLevelType w:val="hybridMultilevel"/>
    <w:tmpl w:val="558E9B5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96A24A6E">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723132"/>
    <w:multiLevelType w:val="hybridMultilevel"/>
    <w:tmpl w:val="34389EBA"/>
    <w:lvl w:ilvl="0" w:tplc="789A3E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C2C4BE1"/>
    <w:multiLevelType w:val="hybridMultilevel"/>
    <w:tmpl w:val="69486CB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2" w15:restartNumberingAfterBreak="0">
    <w:nsid w:val="5F7852C5"/>
    <w:multiLevelType w:val="hybridMultilevel"/>
    <w:tmpl w:val="39C6C88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616F1CEA"/>
    <w:multiLevelType w:val="hybridMultilevel"/>
    <w:tmpl w:val="EC1446AA"/>
    <w:lvl w:ilvl="0" w:tplc="7B8ACD96">
      <w:start w:val="1"/>
      <w:numFmt w:val="decimal"/>
      <w:lvlText w:val="%1."/>
      <w:lvlJc w:val="left"/>
      <w:pPr>
        <w:tabs>
          <w:tab w:val="num" w:pos="357"/>
        </w:tabs>
        <w:ind w:left="357" w:hanging="357"/>
      </w:pPr>
      <w:rPr>
        <w:rFonts w:ascii="Century Gothic" w:hAnsi="Century Gothic" w:cs="Century Gothic" w:hint="default"/>
        <w:b w:val="0"/>
        <w:bCs w:val="0"/>
        <w:i w:val="0"/>
        <w:iCs w:val="0"/>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4" w15:restartNumberingAfterBreak="0">
    <w:nsid w:val="617E6A0E"/>
    <w:multiLevelType w:val="multilevel"/>
    <w:tmpl w:val="602AA3E6"/>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170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3DD5B57"/>
    <w:multiLevelType w:val="hybridMultilevel"/>
    <w:tmpl w:val="396EC07A"/>
    <w:lvl w:ilvl="0" w:tplc="B56EB994">
      <w:start w:val="1"/>
      <w:numFmt w:val="decimal"/>
      <w:lvlText w:val="%1."/>
      <w:lvlJc w:val="left"/>
      <w:pPr>
        <w:ind w:left="1440" w:hanging="360"/>
      </w:pPr>
      <w:rPr>
        <w:rFonts w:ascii="Century Gothic" w:eastAsia="Times New Roman" w:hAnsi="Century Gothic"/>
      </w:rPr>
    </w:lvl>
    <w:lvl w:ilvl="1" w:tplc="35EC2696">
      <w:start w:val="1"/>
      <w:numFmt w:val="lowerLetter"/>
      <w:lvlText w:val="%2)"/>
      <w:lvlJc w:val="left"/>
      <w:pPr>
        <w:tabs>
          <w:tab w:val="num" w:pos="714"/>
        </w:tabs>
        <w:ind w:left="714" w:hanging="357"/>
      </w:pPr>
      <w:rPr>
        <w:rFonts w:hint="default"/>
        <w:sz w:val="20"/>
        <w:szCs w:val="20"/>
      </w:rPr>
    </w:lvl>
    <w:lvl w:ilvl="2" w:tplc="E0DE2C88">
      <w:start w:val="1"/>
      <w:numFmt w:val="lowerLetter"/>
      <w:lvlText w:val="%3)"/>
      <w:lvlJc w:val="left"/>
      <w:pPr>
        <w:tabs>
          <w:tab w:val="num" w:pos="714"/>
        </w:tabs>
        <w:ind w:left="714" w:hanging="357"/>
      </w:pPr>
      <w:rPr>
        <w:rFonts w:hint="default"/>
        <w:sz w:val="20"/>
        <w:szCs w:val="20"/>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6" w15:restartNumberingAfterBreak="0">
    <w:nsid w:val="6413764F"/>
    <w:multiLevelType w:val="hybridMultilevel"/>
    <w:tmpl w:val="D5B88E78"/>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64E44DBF"/>
    <w:multiLevelType w:val="hybridMultilevel"/>
    <w:tmpl w:val="5FDAC952"/>
    <w:lvl w:ilvl="0" w:tplc="82D009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5F40901"/>
    <w:multiLevelType w:val="hybridMultilevel"/>
    <w:tmpl w:val="79A2D6AE"/>
    <w:lvl w:ilvl="0" w:tplc="0ADABD14">
      <w:start w:val="1"/>
      <w:numFmt w:val="decimal"/>
      <w:lvlText w:val="%1)"/>
      <w:lvlJc w:val="left"/>
      <w:pPr>
        <w:ind w:left="717" w:hanging="360"/>
      </w:pPr>
      <w:rPr>
        <w:rFonts w:ascii="Century Gothic" w:eastAsia="Times New Roman" w:hAnsi="Century Gothic" w:cs="Century Gothic"/>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9" w15:restartNumberingAfterBreak="0">
    <w:nsid w:val="667308EB"/>
    <w:multiLevelType w:val="hybridMultilevel"/>
    <w:tmpl w:val="B7D4F46C"/>
    <w:lvl w:ilvl="0" w:tplc="0415000F">
      <w:start w:val="1"/>
      <w:numFmt w:val="decimal"/>
      <w:lvlText w:val="%1."/>
      <w:lvlJc w:val="left"/>
      <w:pPr>
        <w:tabs>
          <w:tab w:val="num" w:pos="357"/>
        </w:tabs>
        <w:ind w:left="357" w:hanging="357"/>
      </w:pPr>
      <w:rPr>
        <w:rFonts w:hint="default"/>
        <w:b w:val="0"/>
        <w:bCs w:val="0"/>
        <w:i w:val="0"/>
        <w:iCs w:val="0"/>
        <w:color w:val="00000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6F4E6B82">
      <w:start w:val="1"/>
      <w:numFmt w:val="decimal"/>
      <w:lvlText w:val="%4."/>
      <w:lvlJc w:val="left"/>
      <w:pPr>
        <w:tabs>
          <w:tab w:val="num" w:pos="2880"/>
        </w:tabs>
        <w:ind w:left="2880" w:hanging="360"/>
      </w:pPr>
      <w:rPr>
        <w:rFonts w:ascii="Century Gothic" w:hAnsi="Century Gothic" w:hint="default"/>
        <w:sz w:val="20"/>
        <w:szCs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15:restartNumberingAfterBreak="0">
    <w:nsid w:val="6A730864"/>
    <w:multiLevelType w:val="hybridMultilevel"/>
    <w:tmpl w:val="FD66EA1A"/>
    <w:lvl w:ilvl="0" w:tplc="04150011">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BF97FE0"/>
    <w:multiLevelType w:val="hybridMultilevel"/>
    <w:tmpl w:val="EDB4B528"/>
    <w:lvl w:ilvl="0" w:tplc="EEFE18BA">
      <w:start w:val="1"/>
      <w:numFmt w:val="bullet"/>
      <w:lvlText w:val=""/>
      <w:lvlJc w:val="left"/>
      <w:pPr>
        <w:tabs>
          <w:tab w:val="num" w:pos="357"/>
        </w:tabs>
        <w:ind w:left="357" w:hanging="357"/>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360"/>
        </w:tabs>
        <w:ind w:left="36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70A1201C"/>
    <w:multiLevelType w:val="hybridMultilevel"/>
    <w:tmpl w:val="E5769ABC"/>
    <w:lvl w:ilvl="0" w:tplc="3DAAF0B8">
      <w:start w:val="1"/>
      <w:numFmt w:val="decimal"/>
      <w:lvlText w:val="%1)"/>
      <w:lvlJc w:val="left"/>
      <w:pPr>
        <w:tabs>
          <w:tab w:val="num" w:pos="540"/>
        </w:tabs>
        <w:ind w:left="900" w:hanging="360"/>
      </w:pPr>
      <w:rPr>
        <w:rFonts w:eastAsia="Arial Unicode M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73205A49"/>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5A0286"/>
    <w:multiLevelType w:val="hybridMultilevel"/>
    <w:tmpl w:val="34389EBA"/>
    <w:lvl w:ilvl="0" w:tplc="789A3E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5103C33"/>
    <w:multiLevelType w:val="hybridMultilevel"/>
    <w:tmpl w:val="0AE450F6"/>
    <w:lvl w:ilvl="0" w:tplc="5914B3D6">
      <w:start w:val="1"/>
      <w:numFmt w:val="decimal"/>
      <w:lvlText w:val="%1."/>
      <w:lvlJc w:val="left"/>
      <w:pPr>
        <w:tabs>
          <w:tab w:val="num" w:pos="357"/>
        </w:tabs>
        <w:ind w:left="357" w:hanging="357"/>
      </w:pPr>
      <w:rPr>
        <w:rFonts w:ascii="Century Gothic" w:hAnsi="Century Gothic" w:cs="Century Gothic"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77AA17A1"/>
    <w:multiLevelType w:val="hybridMultilevel"/>
    <w:tmpl w:val="434077F2"/>
    <w:lvl w:ilvl="0" w:tplc="6F4E6B82">
      <w:start w:val="1"/>
      <w:numFmt w:val="decimal"/>
      <w:lvlText w:val="%1."/>
      <w:lvlJc w:val="left"/>
      <w:pPr>
        <w:tabs>
          <w:tab w:val="num" w:pos="2880"/>
        </w:tabs>
        <w:ind w:left="2880" w:hanging="36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5988188">
    <w:abstractNumId w:val="44"/>
  </w:num>
  <w:num w:numId="2" w16cid:durableId="1968393276">
    <w:abstractNumId w:val="61"/>
  </w:num>
  <w:num w:numId="3" w16cid:durableId="1017849217">
    <w:abstractNumId w:val="65"/>
  </w:num>
  <w:num w:numId="4" w16cid:durableId="1757939555">
    <w:abstractNumId w:val="56"/>
  </w:num>
  <w:num w:numId="5" w16cid:durableId="1176309137">
    <w:abstractNumId w:val="0"/>
  </w:num>
  <w:num w:numId="6" w16cid:durableId="1321277246">
    <w:abstractNumId w:val="53"/>
  </w:num>
  <w:num w:numId="7" w16cid:durableId="1694106696">
    <w:abstractNumId w:val="28"/>
  </w:num>
  <w:num w:numId="8" w16cid:durableId="939142021">
    <w:abstractNumId w:val="33"/>
  </w:num>
  <w:num w:numId="9" w16cid:durableId="1463691787">
    <w:abstractNumId w:val="39"/>
  </w:num>
  <w:num w:numId="10" w16cid:durableId="1730838253">
    <w:abstractNumId w:val="34"/>
  </w:num>
  <w:num w:numId="11" w16cid:durableId="1912541412">
    <w:abstractNumId w:val="41"/>
  </w:num>
  <w:num w:numId="12" w16cid:durableId="644434412">
    <w:abstractNumId w:val="48"/>
  </w:num>
  <w:num w:numId="13" w16cid:durableId="1465004237">
    <w:abstractNumId w:val="22"/>
  </w:num>
  <w:num w:numId="14" w16cid:durableId="2027829451">
    <w:abstractNumId w:val="38"/>
  </w:num>
  <w:num w:numId="15" w16cid:durableId="1259173238">
    <w:abstractNumId w:val="20"/>
  </w:num>
  <w:num w:numId="16" w16cid:durableId="2071683729">
    <w:abstractNumId w:val="60"/>
  </w:num>
  <w:num w:numId="17" w16cid:durableId="1241014619">
    <w:abstractNumId w:val="55"/>
  </w:num>
  <w:num w:numId="18" w16cid:durableId="1131287508">
    <w:abstractNumId w:val="25"/>
  </w:num>
  <w:num w:numId="19" w16cid:durableId="1468546432">
    <w:abstractNumId w:val="62"/>
  </w:num>
  <w:num w:numId="20" w16cid:durableId="250822823">
    <w:abstractNumId w:val="21"/>
  </w:num>
  <w:num w:numId="21" w16cid:durableId="780301373">
    <w:abstractNumId w:val="3"/>
  </w:num>
  <w:num w:numId="22" w16cid:durableId="996231040">
    <w:abstractNumId w:val="19"/>
  </w:num>
  <w:num w:numId="23" w16cid:durableId="1771704401">
    <w:abstractNumId w:val="14"/>
  </w:num>
  <w:num w:numId="24" w16cid:durableId="737243737">
    <w:abstractNumId w:val="18"/>
  </w:num>
  <w:num w:numId="25" w16cid:durableId="1692223353">
    <w:abstractNumId w:val="49"/>
  </w:num>
  <w:num w:numId="26" w16cid:durableId="1851751205">
    <w:abstractNumId w:val="17"/>
  </w:num>
  <w:num w:numId="27" w16cid:durableId="1796751973">
    <w:abstractNumId w:val="6"/>
  </w:num>
  <w:num w:numId="28" w16cid:durableId="596137183">
    <w:abstractNumId w:val="35"/>
  </w:num>
  <w:num w:numId="29" w16cid:durableId="1400446731">
    <w:abstractNumId w:val="54"/>
  </w:num>
  <w:num w:numId="30" w16cid:durableId="1598368024">
    <w:abstractNumId w:val="27"/>
  </w:num>
  <w:num w:numId="31" w16cid:durableId="88165870">
    <w:abstractNumId w:val="30"/>
  </w:num>
  <w:num w:numId="32" w16cid:durableId="1159232455">
    <w:abstractNumId w:val="1"/>
  </w:num>
  <w:num w:numId="33" w16cid:durableId="1149250057">
    <w:abstractNumId w:val="29"/>
  </w:num>
  <w:num w:numId="34" w16cid:durableId="302270416">
    <w:abstractNumId w:val="24"/>
  </w:num>
  <w:num w:numId="35" w16cid:durableId="5987827">
    <w:abstractNumId w:val="59"/>
  </w:num>
  <w:num w:numId="36" w16cid:durableId="493495161">
    <w:abstractNumId w:val="12"/>
  </w:num>
  <w:num w:numId="37" w16cid:durableId="1823542353">
    <w:abstractNumId w:val="11"/>
  </w:num>
  <w:num w:numId="38" w16cid:durableId="63113714">
    <w:abstractNumId w:val="13"/>
  </w:num>
  <w:num w:numId="39" w16cid:durableId="1438407362">
    <w:abstractNumId w:val="50"/>
  </w:num>
  <w:num w:numId="40" w16cid:durableId="1907301799">
    <w:abstractNumId w:val="45"/>
  </w:num>
  <w:num w:numId="41" w16cid:durableId="724643431">
    <w:abstractNumId w:val="7"/>
  </w:num>
  <w:num w:numId="42" w16cid:durableId="357855687">
    <w:abstractNumId w:val="9"/>
  </w:num>
  <w:num w:numId="43" w16cid:durableId="2006929944">
    <w:abstractNumId w:val="57"/>
  </w:num>
  <w:num w:numId="44" w16cid:durableId="700015856">
    <w:abstractNumId w:val="66"/>
  </w:num>
  <w:num w:numId="45" w16cid:durableId="2101438530">
    <w:abstractNumId w:val="43"/>
  </w:num>
  <w:num w:numId="46" w16cid:durableId="617569002">
    <w:abstractNumId w:val="23"/>
  </w:num>
  <w:num w:numId="47" w16cid:durableId="637489060">
    <w:abstractNumId w:val="2"/>
  </w:num>
  <w:num w:numId="48" w16cid:durableId="746659222">
    <w:abstractNumId w:val="42"/>
  </w:num>
  <w:num w:numId="49" w16cid:durableId="1348368176">
    <w:abstractNumId w:val="31"/>
  </w:num>
  <w:num w:numId="50" w16cid:durableId="965696660">
    <w:abstractNumId w:val="58"/>
  </w:num>
  <w:num w:numId="51" w16cid:durableId="1647321537">
    <w:abstractNumId w:val="4"/>
  </w:num>
  <w:num w:numId="52" w16cid:durableId="1928538622">
    <w:abstractNumId w:val="64"/>
  </w:num>
  <w:num w:numId="53" w16cid:durableId="893470212">
    <w:abstractNumId w:val="47"/>
  </w:num>
  <w:num w:numId="54" w16cid:durableId="1348799286">
    <w:abstractNumId w:val="46"/>
  </w:num>
  <w:num w:numId="55" w16cid:durableId="516702300">
    <w:abstractNumId w:val="36"/>
  </w:num>
  <w:num w:numId="56" w16cid:durableId="493910977">
    <w:abstractNumId w:val="26"/>
  </w:num>
  <w:num w:numId="57" w16cid:durableId="2129812248">
    <w:abstractNumId w:val="8"/>
  </w:num>
  <w:num w:numId="58" w16cid:durableId="2084718662">
    <w:abstractNumId w:val="40"/>
  </w:num>
  <w:num w:numId="59" w16cid:durableId="1680619047">
    <w:abstractNumId w:val="10"/>
  </w:num>
  <w:num w:numId="60" w16cid:durableId="1467118873">
    <w:abstractNumId w:val="16"/>
  </w:num>
  <w:num w:numId="61" w16cid:durableId="1279264485">
    <w:abstractNumId w:val="37"/>
  </w:num>
  <w:num w:numId="62" w16cid:durableId="939918378">
    <w:abstractNumId w:val="63"/>
  </w:num>
  <w:num w:numId="63" w16cid:durableId="1399981569">
    <w:abstractNumId w:val="51"/>
  </w:num>
  <w:num w:numId="64" w16cid:durableId="68236731">
    <w:abstractNumId w:val="5"/>
  </w:num>
  <w:num w:numId="65" w16cid:durableId="497815206">
    <w:abstractNumId w:val="32"/>
  </w:num>
  <w:num w:numId="66" w16cid:durableId="1122916784">
    <w:abstractNumId w:val="15"/>
  </w:num>
  <w:num w:numId="67" w16cid:durableId="1525822032">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AE9"/>
    <w:rsid w:val="000021FB"/>
    <w:rsid w:val="00005049"/>
    <w:rsid w:val="00005F1D"/>
    <w:rsid w:val="00011D9D"/>
    <w:rsid w:val="00020F00"/>
    <w:rsid w:val="00021DDC"/>
    <w:rsid w:val="00026F79"/>
    <w:rsid w:val="000360A3"/>
    <w:rsid w:val="00036E79"/>
    <w:rsid w:val="00040BB6"/>
    <w:rsid w:val="00041255"/>
    <w:rsid w:val="00047496"/>
    <w:rsid w:val="00050EAE"/>
    <w:rsid w:val="00050F5D"/>
    <w:rsid w:val="00054D47"/>
    <w:rsid w:val="00060B72"/>
    <w:rsid w:val="00062750"/>
    <w:rsid w:val="00064C51"/>
    <w:rsid w:val="00072988"/>
    <w:rsid w:val="00073824"/>
    <w:rsid w:val="00074035"/>
    <w:rsid w:val="00074BFB"/>
    <w:rsid w:val="0007700F"/>
    <w:rsid w:val="0007757A"/>
    <w:rsid w:val="0007758F"/>
    <w:rsid w:val="00077BD5"/>
    <w:rsid w:val="00082620"/>
    <w:rsid w:val="000831A2"/>
    <w:rsid w:val="0008331B"/>
    <w:rsid w:val="00087BDD"/>
    <w:rsid w:val="0009356F"/>
    <w:rsid w:val="0009649C"/>
    <w:rsid w:val="000A059D"/>
    <w:rsid w:val="000A1BBB"/>
    <w:rsid w:val="000A36C7"/>
    <w:rsid w:val="000A4163"/>
    <w:rsid w:val="000B3AB4"/>
    <w:rsid w:val="000C2EBB"/>
    <w:rsid w:val="000D4199"/>
    <w:rsid w:val="000D63D5"/>
    <w:rsid w:val="000D7519"/>
    <w:rsid w:val="000D7C3F"/>
    <w:rsid w:val="000E71EF"/>
    <w:rsid w:val="000E7359"/>
    <w:rsid w:val="000F37D2"/>
    <w:rsid w:val="000F68FE"/>
    <w:rsid w:val="001025B1"/>
    <w:rsid w:val="00103308"/>
    <w:rsid w:val="00105AD4"/>
    <w:rsid w:val="00107BBC"/>
    <w:rsid w:val="00111634"/>
    <w:rsid w:val="00113185"/>
    <w:rsid w:val="00113491"/>
    <w:rsid w:val="00114804"/>
    <w:rsid w:val="00120A32"/>
    <w:rsid w:val="00120F57"/>
    <w:rsid w:val="00121493"/>
    <w:rsid w:val="001227EE"/>
    <w:rsid w:val="00123EE6"/>
    <w:rsid w:val="00124142"/>
    <w:rsid w:val="00125235"/>
    <w:rsid w:val="0013236A"/>
    <w:rsid w:val="00136F87"/>
    <w:rsid w:val="001370AE"/>
    <w:rsid w:val="001373C9"/>
    <w:rsid w:val="0014148B"/>
    <w:rsid w:val="00141C50"/>
    <w:rsid w:val="00151DCC"/>
    <w:rsid w:val="00157F61"/>
    <w:rsid w:val="00166982"/>
    <w:rsid w:val="00170688"/>
    <w:rsid w:val="00175BF1"/>
    <w:rsid w:val="00176343"/>
    <w:rsid w:val="00176999"/>
    <w:rsid w:val="00177735"/>
    <w:rsid w:val="001808BC"/>
    <w:rsid w:val="0018105D"/>
    <w:rsid w:val="00193062"/>
    <w:rsid w:val="001955F6"/>
    <w:rsid w:val="0019627F"/>
    <w:rsid w:val="001971C0"/>
    <w:rsid w:val="001A617E"/>
    <w:rsid w:val="001B15BB"/>
    <w:rsid w:val="001B2CC7"/>
    <w:rsid w:val="001C1E07"/>
    <w:rsid w:val="001C2F5C"/>
    <w:rsid w:val="001C49C1"/>
    <w:rsid w:val="001C4AE9"/>
    <w:rsid w:val="001C758D"/>
    <w:rsid w:val="001D1A56"/>
    <w:rsid w:val="001D2EC9"/>
    <w:rsid w:val="001E3146"/>
    <w:rsid w:val="001E3493"/>
    <w:rsid w:val="001E7DB9"/>
    <w:rsid w:val="00203618"/>
    <w:rsid w:val="00204C0D"/>
    <w:rsid w:val="00212BF9"/>
    <w:rsid w:val="00213D7B"/>
    <w:rsid w:val="00214F53"/>
    <w:rsid w:val="002154A7"/>
    <w:rsid w:val="00215ACF"/>
    <w:rsid w:val="002210D1"/>
    <w:rsid w:val="00221EC1"/>
    <w:rsid w:val="00222478"/>
    <w:rsid w:val="00224B3D"/>
    <w:rsid w:val="00225004"/>
    <w:rsid w:val="00235E82"/>
    <w:rsid w:val="00242A01"/>
    <w:rsid w:val="00246028"/>
    <w:rsid w:val="00251284"/>
    <w:rsid w:val="00255FA0"/>
    <w:rsid w:val="00264D7D"/>
    <w:rsid w:val="00285108"/>
    <w:rsid w:val="002971F7"/>
    <w:rsid w:val="002A310F"/>
    <w:rsid w:val="002A4ABE"/>
    <w:rsid w:val="002A64AD"/>
    <w:rsid w:val="002B0E1B"/>
    <w:rsid w:val="002B6A16"/>
    <w:rsid w:val="002C104F"/>
    <w:rsid w:val="002C2A1A"/>
    <w:rsid w:val="002C5FF1"/>
    <w:rsid w:val="002D7C45"/>
    <w:rsid w:val="002E1B01"/>
    <w:rsid w:val="002F54AB"/>
    <w:rsid w:val="002F55AC"/>
    <w:rsid w:val="00300E4F"/>
    <w:rsid w:val="00301B61"/>
    <w:rsid w:val="00303563"/>
    <w:rsid w:val="00304676"/>
    <w:rsid w:val="003068A4"/>
    <w:rsid w:val="00311F22"/>
    <w:rsid w:val="0031210A"/>
    <w:rsid w:val="00314418"/>
    <w:rsid w:val="003211B3"/>
    <w:rsid w:val="003219DF"/>
    <w:rsid w:val="00324210"/>
    <w:rsid w:val="0033597E"/>
    <w:rsid w:val="00335F56"/>
    <w:rsid w:val="003377AB"/>
    <w:rsid w:val="003406C9"/>
    <w:rsid w:val="00340E69"/>
    <w:rsid w:val="003418A4"/>
    <w:rsid w:val="00342CE4"/>
    <w:rsid w:val="0034681E"/>
    <w:rsid w:val="00350F40"/>
    <w:rsid w:val="00351204"/>
    <w:rsid w:val="003560A7"/>
    <w:rsid w:val="00360822"/>
    <w:rsid w:val="00361D40"/>
    <w:rsid w:val="00361D60"/>
    <w:rsid w:val="00366BE7"/>
    <w:rsid w:val="00367E75"/>
    <w:rsid w:val="00370D81"/>
    <w:rsid w:val="003824F1"/>
    <w:rsid w:val="00383312"/>
    <w:rsid w:val="00384296"/>
    <w:rsid w:val="00397B1A"/>
    <w:rsid w:val="003A23A7"/>
    <w:rsid w:val="003A442B"/>
    <w:rsid w:val="003A48F7"/>
    <w:rsid w:val="003A5818"/>
    <w:rsid w:val="003B0A17"/>
    <w:rsid w:val="003B2639"/>
    <w:rsid w:val="003B3F77"/>
    <w:rsid w:val="003B4DE1"/>
    <w:rsid w:val="003B6A09"/>
    <w:rsid w:val="003C65F7"/>
    <w:rsid w:val="003C673D"/>
    <w:rsid w:val="003D4B54"/>
    <w:rsid w:val="003E4BF2"/>
    <w:rsid w:val="003E530D"/>
    <w:rsid w:val="003F3DA8"/>
    <w:rsid w:val="003F411E"/>
    <w:rsid w:val="003F618B"/>
    <w:rsid w:val="0040157A"/>
    <w:rsid w:val="00403E6F"/>
    <w:rsid w:val="004073D8"/>
    <w:rsid w:val="00420D0D"/>
    <w:rsid w:val="004248C4"/>
    <w:rsid w:val="00424A92"/>
    <w:rsid w:val="004274DC"/>
    <w:rsid w:val="004314C6"/>
    <w:rsid w:val="00431EA3"/>
    <w:rsid w:val="004335BD"/>
    <w:rsid w:val="00437125"/>
    <w:rsid w:val="00437F81"/>
    <w:rsid w:val="00441CAD"/>
    <w:rsid w:val="00444873"/>
    <w:rsid w:val="004517AD"/>
    <w:rsid w:val="00452B01"/>
    <w:rsid w:val="00456319"/>
    <w:rsid w:val="004619A8"/>
    <w:rsid w:val="0046492D"/>
    <w:rsid w:val="0046592F"/>
    <w:rsid w:val="00465B47"/>
    <w:rsid w:val="00466547"/>
    <w:rsid w:val="004673CC"/>
    <w:rsid w:val="00490EBD"/>
    <w:rsid w:val="00490EEA"/>
    <w:rsid w:val="00492E0C"/>
    <w:rsid w:val="004976A7"/>
    <w:rsid w:val="004A08F1"/>
    <w:rsid w:val="004A2648"/>
    <w:rsid w:val="004A28BC"/>
    <w:rsid w:val="004A3313"/>
    <w:rsid w:val="004A451A"/>
    <w:rsid w:val="004A45EA"/>
    <w:rsid w:val="004A613C"/>
    <w:rsid w:val="004B1787"/>
    <w:rsid w:val="004B45ED"/>
    <w:rsid w:val="004B5201"/>
    <w:rsid w:val="004C5377"/>
    <w:rsid w:val="004C6562"/>
    <w:rsid w:val="004C6C47"/>
    <w:rsid w:val="004C7E53"/>
    <w:rsid w:val="004E0C20"/>
    <w:rsid w:val="004E310D"/>
    <w:rsid w:val="004E7CDF"/>
    <w:rsid w:val="004F1F08"/>
    <w:rsid w:val="004F77BF"/>
    <w:rsid w:val="004F7C66"/>
    <w:rsid w:val="00501B49"/>
    <w:rsid w:val="0050495A"/>
    <w:rsid w:val="00504EF8"/>
    <w:rsid w:val="00511D47"/>
    <w:rsid w:val="0051468D"/>
    <w:rsid w:val="005153A3"/>
    <w:rsid w:val="0052082E"/>
    <w:rsid w:val="00525943"/>
    <w:rsid w:val="005304C5"/>
    <w:rsid w:val="00531DB9"/>
    <w:rsid w:val="005339B5"/>
    <w:rsid w:val="005354C4"/>
    <w:rsid w:val="005359D4"/>
    <w:rsid w:val="00536EB7"/>
    <w:rsid w:val="0054115B"/>
    <w:rsid w:val="00541A64"/>
    <w:rsid w:val="00553052"/>
    <w:rsid w:val="0055412E"/>
    <w:rsid w:val="00562BCD"/>
    <w:rsid w:val="00566D41"/>
    <w:rsid w:val="00567256"/>
    <w:rsid w:val="005724B1"/>
    <w:rsid w:val="005736A6"/>
    <w:rsid w:val="00573752"/>
    <w:rsid w:val="00573B28"/>
    <w:rsid w:val="0057728D"/>
    <w:rsid w:val="00583D08"/>
    <w:rsid w:val="00587F40"/>
    <w:rsid w:val="00597A5B"/>
    <w:rsid w:val="005A4FFD"/>
    <w:rsid w:val="005A599C"/>
    <w:rsid w:val="005A5AAC"/>
    <w:rsid w:val="005B6607"/>
    <w:rsid w:val="005C25C3"/>
    <w:rsid w:val="005C2CC3"/>
    <w:rsid w:val="005D0308"/>
    <w:rsid w:val="005D43EB"/>
    <w:rsid w:val="005D66EB"/>
    <w:rsid w:val="005D73DC"/>
    <w:rsid w:val="005E001A"/>
    <w:rsid w:val="005E22C6"/>
    <w:rsid w:val="005E6673"/>
    <w:rsid w:val="00604DE3"/>
    <w:rsid w:val="0061510A"/>
    <w:rsid w:val="006239F1"/>
    <w:rsid w:val="00631B04"/>
    <w:rsid w:val="006359A8"/>
    <w:rsid w:val="00640B59"/>
    <w:rsid w:val="0064525E"/>
    <w:rsid w:val="006472CB"/>
    <w:rsid w:val="0065418F"/>
    <w:rsid w:val="006649F8"/>
    <w:rsid w:val="00664C42"/>
    <w:rsid w:val="00674DA0"/>
    <w:rsid w:val="00676754"/>
    <w:rsid w:val="006834E9"/>
    <w:rsid w:val="00692D9E"/>
    <w:rsid w:val="00693C98"/>
    <w:rsid w:val="006B0699"/>
    <w:rsid w:val="006B2C1B"/>
    <w:rsid w:val="006B4FAC"/>
    <w:rsid w:val="006C4F96"/>
    <w:rsid w:val="006C5190"/>
    <w:rsid w:val="006D3587"/>
    <w:rsid w:val="006D66B1"/>
    <w:rsid w:val="006D70BD"/>
    <w:rsid w:val="006E1E1C"/>
    <w:rsid w:val="006E289F"/>
    <w:rsid w:val="006E2BE6"/>
    <w:rsid w:val="00700B78"/>
    <w:rsid w:val="007010F6"/>
    <w:rsid w:val="00707099"/>
    <w:rsid w:val="00710BB5"/>
    <w:rsid w:val="00711ADA"/>
    <w:rsid w:val="0071363B"/>
    <w:rsid w:val="00714682"/>
    <w:rsid w:val="00715FF7"/>
    <w:rsid w:val="007204AC"/>
    <w:rsid w:val="0072080E"/>
    <w:rsid w:val="00721BF6"/>
    <w:rsid w:val="007256A4"/>
    <w:rsid w:val="007414F4"/>
    <w:rsid w:val="00741E14"/>
    <w:rsid w:val="00742876"/>
    <w:rsid w:val="00760C6E"/>
    <w:rsid w:val="00766792"/>
    <w:rsid w:val="00766E8B"/>
    <w:rsid w:val="007771CC"/>
    <w:rsid w:val="00780EC0"/>
    <w:rsid w:val="0078122A"/>
    <w:rsid w:val="0078208D"/>
    <w:rsid w:val="00784A86"/>
    <w:rsid w:val="00785579"/>
    <w:rsid w:val="00794567"/>
    <w:rsid w:val="00795E05"/>
    <w:rsid w:val="007A1287"/>
    <w:rsid w:val="007A3A4C"/>
    <w:rsid w:val="007A3CA9"/>
    <w:rsid w:val="007A4A0D"/>
    <w:rsid w:val="007A53D1"/>
    <w:rsid w:val="007A7189"/>
    <w:rsid w:val="007B3B32"/>
    <w:rsid w:val="007B6E72"/>
    <w:rsid w:val="007C316A"/>
    <w:rsid w:val="007C331D"/>
    <w:rsid w:val="007C3ACB"/>
    <w:rsid w:val="007D15D9"/>
    <w:rsid w:val="007D2F27"/>
    <w:rsid w:val="007D602D"/>
    <w:rsid w:val="007E002D"/>
    <w:rsid w:val="007E4022"/>
    <w:rsid w:val="007E5EC5"/>
    <w:rsid w:val="007E6B48"/>
    <w:rsid w:val="007F2A8D"/>
    <w:rsid w:val="007F58E4"/>
    <w:rsid w:val="007F74ED"/>
    <w:rsid w:val="007F7BA6"/>
    <w:rsid w:val="008021F8"/>
    <w:rsid w:val="00803474"/>
    <w:rsid w:val="00805A3E"/>
    <w:rsid w:val="00806F3C"/>
    <w:rsid w:val="0081115D"/>
    <w:rsid w:val="008123CE"/>
    <w:rsid w:val="00812414"/>
    <w:rsid w:val="00812749"/>
    <w:rsid w:val="00816D6B"/>
    <w:rsid w:val="008174E3"/>
    <w:rsid w:val="008175FA"/>
    <w:rsid w:val="00820DE7"/>
    <w:rsid w:val="00822BED"/>
    <w:rsid w:val="00827031"/>
    <w:rsid w:val="00827140"/>
    <w:rsid w:val="008371FC"/>
    <w:rsid w:val="00841704"/>
    <w:rsid w:val="008479C8"/>
    <w:rsid w:val="0085640D"/>
    <w:rsid w:val="00856CD4"/>
    <w:rsid w:val="00857BC7"/>
    <w:rsid w:val="008607B6"/>
    <w:rsid w:val="008727C1"/>
    <w:rsid w:val="00873BB0"/>
    <w:rsid w:val="00873CD5"/>
    <w:rsid w:val="00880E9E"/>
    <w:rsid w:val="00884AE7"/>
    <w:rsid w:val="008853A7"/>
    <w:rsid w:val="008913CB"/>
    <w:rsid w:val="00894337"/>
    <w:rsid w:val="00896A20"/>
    <w:rsid w:val="008A1E77"/>
    <w:rsid w:val="008A2212"/>
    <w:rsid w:val="008A3873"/>
    <w:rsid w:val="008A4164"/>
    <w:rsid w:val="008A67B4"/>
    <w:rsid w:val="008A7A46"/>
    <w:rsid w:val="008B38B5"/>
    <w:rsid w:val="008B3F6C"/>
    <w:rsid w:val="008B5D94"/>
    <w:rsid w:val="008B7AB2"/>
    <w:rsid w:val="008C4542"/>
    <w:rsid w:val="008C6A75"/>
    <w:rsid w:val="008D16BA"/>
    <w:rsid w:val="008D631E"/>
    <w:rsid w:val="008E1843"/>
    <w:rsid w:val="008E75E7"/>
    <w:rsid w:val="009029FD"/>
    <w:rsid w:val="00902B7E"/>
    <w:rsid w:val="00910389"/>
    <w:rsid w:val="00912A0F"/>
    <w:rsid w:val="0092018D"/>
    <w:rsid w:val="00925F0F"/>
    <w:rsid w:val="0093034B"/>
    <w:rsid w:val="00930DFF"/>
    <w:rsid w:val="009324A2"/>
    <w:rsid w:val="00937E43"/>
    <w:rsid w:val="00943C32"/>
    <w:rsid w:val="00950B13"/>
    <w:rsid w:val="00953411"/>
    <w:rsid w:val="009554CF"/>
    <w:rsid w:val="0097414E"/>
    <w:rsid w:val="00974209"/>
    <w:rsid w:val="009767FC"/>
    <w:rsid w:val="009864F0"/>
    <w:rsid w:val="009875BD"/>
    <w:rsid w:val="00990AE7"/>
    <w:rsid w:val="00990F1D"/>
    <w:rsid w:val="009A0059"/>
    <w:rsid w:val="009A3368"/>
    <w:rsid w:val="009A3F88"/>
    <w:rsid w:val="009A484E"/>
    <w:rsid w:val="009A4FE9"/>
    <w:rsid w:val="009A5780"/>
    <w:rsid w:val="009B173F"/>
    <w:rsid w:val="009B4B92"/>
    <w:rsid w:val="009B6A80"/>
    <w:rsid w:val="009C2022"/>
    <w:rsid w:val="009C6F51"/>
    <w:rsid w:val="009F6F35"/>
    <w:rsid w:val="00A06DE4"/>
    <w:rsid w:val="00A23A7C"/>
    <w:rsid w:val="00A314C4"/>
    <w:rsid w:val="00A36B62"/>
    <w:rsid w:val="00A4051C"/>
    <w:rsid w:val="00A444A8"/>
    <w:rsid w:val="00A46005"/>
    <w:rsid w:val="00A535EF"/>
    <w:rsid w:val="00A5381C"/>
    <w:rsid w:val="00A60A72"/>
    <w:rsid w:val="00A63EDB"/>
    <w:rsid w:val="00A64F31"/>
    <w:rsid w:val="00A6560A"/>
    <w:rsid w:val="00A67693"/>
    <w:rsid w:val="00A70994"/>
    <w:rsid w:val="00A70C75"/>
    <w:rsid w:val="00A70F75"/>
    <w:rsid w:val="00A73FA3"/>
    <w:rsid w:val="00A73FEC"/>
    <w:rsid w:val="00A74E99"/>
    <w:rsid w:val="00A86EDD"/>
    <w:rsid w:val="00A91562"/>
    <w:rsid w:val="00A938BB"/>
    <w:rsid w:val="00AA02F0"/>
    <w:rsid w:val="00AA04F6"/>
    <w:rsid w:val="00AA386B"/>
    <w:rsid w:val="00AB1D61"/>
    <w:rsid w:val="00AB1E06"/>
    <w:rsid w:val="00AB5E69"/>
    <w:rsid w:val="00AB6C74"/>
    <w:rsid w:val="00AC10C6"/>
    <w:rsid w:val="00AC19DE"/>
    <w:rsid w:val="00AC2F86"/>
    <w:rsid w:val="00AD0D7D"/>
    <w:rsid w:val="00AE089B"/>
    <w:rsid w:val="00AF23B3"/>
    <w:rsid w:val="00AF3B90"/>
    <w:rsid w:val="00AF707D"/>
    <w:rsid w:val="00B04F2C"/>
    <w:rsid w:val="00B0605E"/>
    <w:rsid w:val="00B211DA"/>
    <w:rsid w:val="00B27E85"/>
    <w:rsid w:val="00B30943"/>
    <w:rsid w:val="00B36980"/>
    <w:rsid w:val="00B3794D"/>
    <w:rsid w:val="00B42950"/>
    <w:rsid w:val="00B46FF2"/>
    <w:rsid w:val="00B4702A"/>
    <w:rsid w:val="00B521F8"/>
    <w:rsid w:val="00B52A99"/>
    <w:rsid w:val="00B55593"/>
    <w:rsid w:val="00B66670"/>
    <w:rsid w:val="00B700E5"/>
    <w:rsid w:val="00B724F3"/>
    <w:rsid w:val="00B7613B"/>
    <w:rsid w:val="00B80D7D"/>
    <w:rsid w:val="00B916B0"/>
    <w:rsid w:val="00B92925"/>
    <w:rsid w:val="00B93BB9"/>
    <w:rsid w:val="00BA05B3"/>
    <w:rsid w:val="00BA092B"/>
    <w:rsid w:val="00BA0F9F"/>
    <w:rsid w:val="00BA20EF"/>
    <w:rsid w:val="00BB3621"/>
    <w:rsid w:val="00BB3661"/>
    <w:rsid w:val="00BB415A"/>
    <w:rsid w:val="00BB69FF"/>
    <w:rsid w:val="00BC134A"/>
    <w:rsid w:val="00BC70D3"/>
    <w:rsid w:val="00BC793D"/>
    <w:rsid w:val="00BC7D6F"/>
    <w:rsid w:val="00BD73FA"/>
    <w:rsid w:val="00BE0083"/>
    <w:rsid w:val="00BE0632"/>
    <w:rsid w:val="00BE0ACC"/>
    <w:rsid w:val="00BE1359"/>
    <w:rsid w:val="00BE508D"/>
    <w:rsid w:val="00BE7CC7"/>
    <w:rsid w:val="00BF1B95"/>
    <w:rsid w:val="00BF411B"/>
    <w:rsid w:val="00C027C1"/>
    <w:rsid w:val="00C1108B"/>
    <w:rsid w:val="00C17DF6"/>
    <w:rsid w:val="00C21253"/>
    <w:rsid w:val="00C24955"/>
    <w:rsid w:val="00C26062"/>
    <w:rsid w:val="00C2622D"/>
    <w:rsid w:val="00C265FD"/>
    <w:rsid w:val="00C333ED"/>
    <w:rsid w:val="00C35E5F"/>
    <w:rsid w:val="00C417AB"/>
    <w:rsid w:val="00C42781"/>
    <w:rsid w:val="00C4360A"/>
    <w:rsid w:val="00C47055"/>
    <w:rsid w:val="00C508BD"/>
    <w:rsid w:val="00C51487"/>
    <w:rsid w:val="00C52E9E"/>
    <w:rsid w:val="00C53E08"/>
    <w:rsid w:val="00C55996"/>
    <w:rsid w:val="00C72952"/>
    <w:rsid w:val="00C72D68"/>
    <w:rsid w:val="00C736C5"/>
    <w:rsid w:val="00C73C67"/>
    <w:rsid w:val="00C742BA"/>
    <w:rsid w:val="00C74B68"/>
    <w:rsid w:val="00C8173C"/>
    <w:rsid w:val="00C81807"/>
    <w:rsid w:val="00C91848"/>
    <w:rsid w:val="00C95E24"/>
    <w:rsid w:val="00C96AD3"/>
    <w:rsid w:val="00CB1947"/>
    <w:rsid w:val="00CB19F8"/>
    <w:rsid w:val="00CB569E"/>
    <w:rsid w:val="00CC0AE9"/>
    <w:rsid w:val="00CC5884"/>
    <w:rsid w:val="00CC651F"/>
    <w:rsid w:val="00CC68F8"/>
    <w:rsid w:val="00CD140B"/>
    <w:rsid w:val="00CD6DC6"/>
    <w:rsid w:val="00CE33D5"/>
    <w:rsid w:val="00D00EFD"/>
    <w:rsid w:val="00D0387A"/>
    <w:rsid w:val="00D0475B"/>
    <w:rsid w:val="00D17C64"/>
    <w:rsid w:val="00D22523"/>
    <w:rsid w:val="00D22D78"/>
    <w:rsid w:val="00D22F14"/>
    <w:rsid w:val="00D25682"/>
    <w:rsid w:val="00D324E7"/>
    <w:rsid w:val="00D332ED"/>
    <w:rsid w:val="00D3605A"/>
    <w:rsid w:val="00D41A08"/>
    <w:rsid w:val="00D43C97"/>
    <w:rsid w:val="00D46949"/>
    <w:rsid w:val="00D51130"/>
    <w:rsid w:val="00D61411"/>
    <w:rsid w:val="00D632E7"/>
    <w:rsid w:val="00D65B70"/>
    <w:rsid w:val="00D70A91"/>
    <w:rsid w:val="00D85D0B"/>
    <w:rsid w:val="00D9035F"/>
    <w:rsid w:val="00D91559"/>
    <w:rsid w:val="00D91665"/>
    <w:rsid w:val="00D921EB"/>
    <w:rsid w:val="00D932FB"/>
    <w:rsid w:val="00DA059E"/>
    <w:rsid w:val="00DA1712"/>
    <w:rsid w:val="00DA2E67"/>
    <w:rsid w:val="00DA4A4F"/>
    <w:rsid w:val="00DA4B64"/>
    <w:rsid w:val="00DB33D6"/>
    <w:rsid w:val="00DB3DA8"/>
    <w:rsid w:val="00DB5BB6"/>
    <w:rsid w:val="00DB7546"/>
    <w:rsid w:val="00DC2303"/>
    <w:rsid w:val="00DD6C2C"/>
    <w:rsid w:val="00DE3380"/>
    <w:rsid w:val="00DF0A7A"/>
    <w:rsid w:val="00DF2C10"/>
    <w:rsid w:val="00DF2D56"/>
    <w:rsid w:val="00DF2E3A"/>
    <w:rsid w:val="00DF3E61"/>
    <w:rsid w:val="00E0046E"/>
    <w:rsid w:val="00E044FE"/>
    <w:rsid w:val="00E05E7F"/>
    <w:rsid w:val="00E06742"/>
    <w:rsid w:val="00E10151"/>
    <w:rsid w:val="00E14EE0"/>
    <w:rsid w:val="00E1525C"/>
    <w:rsid w:val="00E22768"/>
    <w:rsid w:val="00E2510C"/>
    <w:rsid w:val="00E26284"/>
    <w:rsid w:val="00E2799B"/>
    <w:rsid w:val="00E41691"/>
    <w:rsid w:val="00E47F62"/>
    <w:rsid w:val="00E524C2"/>
    <w:rsid w:val="00E527CC"/>
    <w:rsid w:val="00E54E1C"/>
    <w:rsid w:val="00E562B2"/>
    <w:rsid w:val="00E628B9"/>
    <w:rsid w:val="00E649B8"/>
    <w:rsid w:val="00E65AF7"/>
    <w:rsid w:val="00E71651"/>
    <w:rsid w:val="00E7339E"/>
    <w:rsid w:val="00E76439"/>
    <w:rsid w:val="00E91376"/>
    <w:rsid w:val="00E91EAD"/>
    <w:rsid w:val="00E968E1"/>
    <w:rsid w:val="00EA00FF"/>
    <w:rsid w:val="00EA0AFC"/>
    <w:rsid w:val="00EA2EE6"/>
    <w:rsid w:val="00EB100D"/>
    <w:rsid w:val="00EB2176"/>
    <w:rsid w:val="00EB270B"/>
    <w:rsid w:val="00EC286E"/>
    <w:rsid w:val="00EC3743"/>
    <w:rsid w:val="00EC6A8C"/>
    <w:rsid w:val="00ED09DC"/>
    <w:rsid w:val="00ED12E5"/>
    <w:rsid w:val="00ED5FB0"/>
    <w:rsid w:val="00EF0DE7"/>
    <w:rsid w:val="00EF27A7"/>
    <w:rsid w:val="00EF4493"/>
    <w:rsid w:val="00EF53E9"/>
    <w:rsid w:val="00EF5505"/>
    <w:rsid w:val="00EF6F9F"/>
    <w:rsid w:val="00F00229"/>
    <w:rsid w:val="00F0100E"/>
    <w:rsid w:val="00F0136B"/>
    <w:rsid w:val="00F0294F"/>
    <w:rsid w:val="00F051CB"/>
    <w:rsid w:val="00F13C6B"/>
    <w:rsid w:val="00F1487E"/>
    <w:rsid w:val="00F20FEE"/>
    <w:rsid w:val="00F24A50"/>
    <w:rsid w:val="00F263A1"/>
    <w:rsid w:val="00F27207"/>
    <w:rsid w:val="00F27474"/>
    <w:rsid w:val="00F30219"/>
    <w:rsid w:val="00F30B95"/>
    <w:rsid w:val="00F31159"/>
    <w:rsid w:val="00F321D8"/>
    <w:rsid w:val="00F34CA4"/>
    <w:rsid w:val="00F36AD3"/>
    <w:rsid w:val="00F462D0"/>
    <w:rsid w:val="00F46D0A"/>
    <w:rsid w:val="00F5187B"/>
    <w:rsid w:val="00F61159"/>
    <w:rsid w:val="00F71DD6"/>
    <w:rsid w:val="00F73A9A"/>
    <w:rsid w:val="00F83AF5"/>
    <w:rsid w:val="00F91469"/>
    <w:rsid w:val="00F943D8"/>
    <w:rsid w:val="00FA455E"/>
    <w:rsid w:val="00FA51C4"/>
    <w:rsid w:val="00FA6D95"/>
    <w:rsid w:val="00FB214E"/>
    <w:rsid w:val="00FB3315"/>
    <w:rsid w:val="00FB7436"/>
    <w:rsid w:val="00FC4765"/>
    <w:rsid w:val="00FD4591"/>
    <w:rsid w:val="00FD4E63"/>
    <w:rsid w:val="00FD5D71"/>
    <w:rsid w:val="00FD5F64"/>
    <w:rsid w:val="00FE085E"/>
    <w:rsid w:val="00FF0649"/>
    <w:rsid w:val="1056C113"/>
    <w:rsid w:val="1BF1CDAB"/>
    <w:rsid w:val="2690B74D"/>
    <w:rsid w:val="550251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03CFC"/>
  <w15:docId w15:val="{A07BDA06-A14C-4C7C-A716-4A3648E1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0AE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896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EF0DE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6">
    <w:name w:val="heading 6"/>
    <w:basedOn w:val="Normalny"/>
    <w:next w:val="Normalny"/>
    <w:link w:val="Nagwek6Znak"/>
    <w:uiPriority w:val="99"/>
    <w:qFormat/>
    <w:rsid w:val="00CC0AE9"/>
    <w:pPr>
      <w:spacing w:before="240" w:after="60"/>
      <w:outlineLvl w:val="5"/>
    </w:pPr>
    <w:rPr>
      <w:rFonts w:ascii="Calibri" w:hAnsi="Calibri"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9"/>
    <w:rsid w:val="00CC0AE9"/>
    <w:rPr>
      <w:rFonts w:ascii="Calibri" w:eastAsia="Times New Roman" w:hAnsi="Calibri" w:cs="Calibri"/>
      <w:b/>
      <w:bCs/>
      <w:sz w:val="20"/>
      <w:szCs w:val="20"/>
      <w:lang w:eastAsia="pl-PL"/>
    </w:rPr>
  </w:style>
  <w:style w:type="paragraph" w:styleId="Nagwek">
    <w:name w:val="header"/>
    <w:basedOn w:val="Normalny"/>
    <w:link w:val="NagwekZnak"/>
    <w:uiPriority w:val="99"/>
    <w:rsid w:val="00CC0AE9"/>
    <w:pPr>
      <w:tabs>
        <w:tab w:val="center" w:pos="4536"/>
        <w:tab w:val="right" w:pos="9072"/>
      </w:tabs>
    </w:pPr>
  </w:style>
  <w:style w:type="character" w:customStyle="1" w:styleId="NagwekZnak">
    <w:name w:val="Nagłówek Znak"/>
    <w:basedOn w:val="Domylnaczcionkaakapitu"/>
    <w:link w:val="Nagwek"/>
    <w:uiPriority w:val="99"/>
    <w:rsid w:val="00CC0AE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CC0AE9"/>
    <w:pPr>
      <w:tabs>
        <w:tab w:val="center" w:pos="4536"/>
        <w:tab w:val="right" w:pos="9072"/>
      </w:tabs>
    </w:pPr>
  </w:style>
  <w:style w:type="character" w:customStyle="1" w:styleId="StopkaZnak">
    <w:name w:val="Stopka Znak"/>
    <w:basedOn w:val="Domylnaczcionkaakapitu"/>
    <w:link w:val="Stopka"/>
    <w:uiPriority w:val="99"/>
    <w:rsid w:val="00CC0AE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CC0AE9"/>
    <w:pPr>
      <w:spacing w:after="120"/>
    </w:pPr>
  </w:style>
  <w:style w:type="character" w:customStyle="1" w:styleId="TekstpodstawowyZnak">
    <w:name w:val="Tekst podstawowy Znak"/>
    <w:basedOn w:val="Domylnaczcionkaakapitu"/>
    <w:link w:val="Tekstpodstawowy"/>
    <w:uiPriority w:val="99"/>
    <w:rsid w:val="00CC0AE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rsid w:val="00CC0AE9"/>
    <w:pPr>
      <w:spacing w:after="120"/>
      <w:ind w:left="283"/>
    </w:pPr>
  </w:style>
  <w:style w:type="character" w:customStyle="1" w:styleId="TekstpodstawowywcityZnak">
    <w:name w:val="Tekst podstawowy wcięty Znak"/>
    <w:basedOn w:val="Domylnaczcionkaakapitu"/>
    <w:link w:val="Tekstpodstawowywcity"/>
    <w:uiPriority w:val="99"/>
    <w:rsid w:val="00CC0AE9"/>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CC0AE9"/>
  </w:style>
  <w:style w:type="character" w:styleId="Hipercze">
    <w:name w:val="Hyperlink"/>
    <w:uiPriority w:val="99"/>
    <w:rsid w:val="00CC0AE9"/>
    <w:rPr>
      <w:color w:val="0000FF"/>
      <w:u w:val="single"/>
    </w:rPr>
  </w:style>
  <w:style w:type="paragraph" w:customStyle="1" w:styleId="tekst">
    <w:name w:val="tekst"/>
    <w:basedOn w:val="Normalny"/>
    <w:uiPriority w:val="99"/>
    <w:rsid w:val="00CC0AE9"/>
    <w:pPr>
      <w:suppressLineNumbers/>
      <w:spacing w:before="60" w:after="60"/>
      <w:jc w:val="both"/>
    </w:pPr>
  </w:style>
  <w:style w:type="paragraph" w:customStyle="1" w:styleId="Blockquote">
    <w:name w:val="Blockquote"/>
    <w:basedOn w:val="Normalny"/>
    <w:uiPriority w:val="99"/>
    <w:rsid w:val="00CC0AE9"/>
    <w:pPr>
      <w:spacing w:before="100" w:after="100"/>
      <w:ind w:left="360" w:right="360"/>
    </w:pPr>
  </w:style>
  <w:style w:type="paragraph" w:styleId="Tekstpodstawowywcity2">
    <w:name w:val="Body Text Indent 2"/>
    <w:basedOn w:val="Normalny"/>
    <w:link w:val="Tekstpodstawowywcity2Znak"/>
    <w:uiPriority w:val="99"/>
    <w:rsid w:val="00CC0AE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C0AE9"/>
    <w:rPr>
      <w:rFonts w:ascii="Times New Roman" w:eastAsia="Times New Roman" w:hAnsi="Times New Roman" w:cs="Times New Roman"/>
      <w:sz w:val="24"/>
      <w:szCs w:val="24"/>
      <w:lang w:eastAsia="pl-PL"/>
    </w:rPr>
  </w:style>
  <w:style w:type="paragraph" w:styleId="Akapitzlist">
    <w:name w:val="List Paragraph"/>
    <w:aliases w:val="Nagłowek 3,Preambuła,lp1"/>
    <w:basedOn w:val="Normalny"/>
    <w:link w:val="AkapitzlistZnak"/>
    <w:uiPriority w:val="34"/>
    <w:qFormat/>
    <w:rsid w:val="00CC0AE9"/>
    <w:pPr>
      <w:ind w:left="720"/>
    </w:pPr>
  </w:style>
  <w:style w:type="paragraph" w:customStyle="1" w:styleId="Styl1">
    <w:name w:val="Styl1"/>
    <w:basedOn w:val="Normalny"/>
    <w:uiPriority w:val="99"/>
    <w:rsid w:val="00CC0AE9"/>
    <w:pPr>
      <w:numPr>
        <w:numId w:val="5"/>
      </w:numPr>
      <w:suppressAutoHyphens/>
      <w:spacing w:before="280" w:after="280"/>
    </w:pPr>
    <w:rPr>
      <w:rFonts w:ascii="Century Gothic" w:eastAsia="SimSun" w:hAnsi="Century Gothic" w:cs="Century Gothic"/>
      <w:b/>
      <w:bCs/>
      <w:sz w:val="22"/>
      <w:szCs w:val="22"/>
      <w:lang w:eastAsia="he-IL" w:bidi="he-IL"/>
    </w:rPr>
  </w:style>
  <w:style w:type="character" w:customStyle="1" w:styleId="AkapitzlistZnak">
    <w:name w:val="Akapit z listą Znak"/>
    <w:aliases w:val="Nagłowek 3 Znak,Preambuła Znak,lp1 Znak"/>
    <w:link w:val="Akapitzlist"/>
    <w:uiPriority w:val="34"/>
    <w:locked/>
    <w:rsid w:val="00CC0AE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C0AE9"/>
    <w:rPr>
      <w:rFonts w:ascii="Tahoma" w:hAnsi="Tahoma" w:cs="Tahoma"/>
      <w:sz w:val="16"/>
      <w:szCs w:val="16"/>
    </w:rPr>
  </w:style>
  <w:style w:type="character" w:customStyle="1" w:styleId="TekstdymkaZnak">
    <w:name w:val="Tekst dymka Znak"/>
    <w:basedOn w:val="Domylnaczcionkaakapitu"/>
    <w:link w:val="Tekstdymka"/>
    <w:uiPriority w:val="99"/>
    <w:semiHidden/>
    <w:rsid w:val="00CC0AE9"/>
    <w:rPr>
      <w:rFonts w:ascii="Tahoma" w:eastAsia="Times New Roman" w:hAnsi="Tahoma" w:cs="Tahoma"/>
      <w:sz w:val="16"/>
      <w:szCs w:val="16"/>
      <w:lang w:eastAsia="pl-PL"/>
    </w:rPr>
  </w:style>
  <w:style w:type="paragraph" w:styleId="Poprawka">
    <w:name w:val="Revision"/>
    <w:hidden/>
    <w:uiPriority w:val="99"/>
    <w:semiHidden/>
    <w:rsid w:val="00C91848"/>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E22768"/>
    <w:rPr>
      <w:sz w:val="16"/>
      <w:szCs w:val="16"/>
    </w:rPr>
  </w:style>
  <w:style w:type="paragraph" w:styleId="Tekstkomentarza">
    <w:name w:val="annotation text"/>
    <w:basedOn w:val="Normalny"/>
    <w:link w:val="TekstkomentarzaZnak"/>
    <w:uiPriority w:val="99"/>
    <w:unhideWhenUsed/>
    <w:rsid w:val="00E22768"/>
    <w:rPr>
      <w:sz w:val="20"/>
      <w:szCs w:val="20"/>
    </w:rPr>
  </w:style>
  <w:style w:type="character" w:customStyle="1" w:styleId="TekstkomentarzaZnak">
    <w:name w:val="Tekst komentarza Znak"/>
    <w:basedOn w:val="Domylnaczcionkaakapitu"/>
    <w:link w:val="Tekstkomentarza"/>
    <w:uiPriority w:val="99"/>
    <w:rsid w:val="00E2276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22768"/>
    <w:rPr>
      <w:b/>
      <w:bCs/>
    </w:rPr>
  </w:style>
  <w:style w:type="character" w:customStyle="1" w:styleId="TematkomentarzaZnak">
    <w:name w:val="Temat komentarza Znak"/>
    <w:basedOn w:val="TekstkomentarzaZnak"/>
    <w:link w:val="Tematkomentarza"/>
    <w:uiPriority w:val="99"/>
    <w:semiHidden/>
    <w:rsid w:val="00E22768"/>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8E1843"/>
    <w:pPr>
      <w:spacing w:after="120" w:line="480" w:lineRule="auto"/>
    </w:pPr>
    <w:rPr>
      <w:rFonts w:eastAsia="SimSun"/>
      <w:lang w:eastAsia="zh-CN"/>
    </w:rPr>
  </w:style>
  <w:style w:type="character" w:customStyle="1" w:styleId="Tekstpodstawowy2Znak">
    <w:name w:val="Tekst podstawowy 2 Znak"/>
    <w:basedOn w:val="Domylnaczcionkaakapitu"/>
    <w:link w:val="Tekstpodstawowy2"/>
    <w:rsid w:val="008E1843"/>
    <w:rPr>
      <w:rFonts w:ascii="Times New Roman" w:eastAsia="SimSun" w:hAnsi="Times New Roman" w:cs="Times New Roman"/>
      <w:sz w:val="24"/>
      <w:szCs w:val="24"/>
      <w:lang w:val="en-GB" w:eastAsia="zh-CN"/>
    </w:rPr>
  </w:style>
  <w:style w:type="character" w:styleId="Tekstzastpczy">
    <w:name w:val="Placeholder Text"/>
    <w:basedOn w:val="Domylnaczcionkaakapitu"/>
    <w:uiPriority w:val="99"/>
    <w:semiHidden/>
    <w:rsid w:val="006B2C1B"/>
    <w:rPr>
      <w:color w:val="808080"/>
    </w:rPr>
  </w:style>
  <w:style w:type="character" w:styleId="Wzmianka">
    <w:name w:val="Mention"/>
    <w:basedOn w:val="Domylnaczcionkaakapitu"/>
    <w:uiPriority w:val="99"/>
    <w:semiHidden/>
    <w:unhideWhenUsed/>
    <w:rsid w:val="00857BC7"/>
    <w:rPr>
      <w:color w:val="2B579A"/>
      <w:shd w:val="clear" w:color="auto" w:fill="E6E6E6"/>
    </w:rPr>
  </w:style>
  <w:style w:type="table" w:styleId="Tabela-Siatka">
    <w:name w:val="Table Grid"/>
    <w:basedOn w:val="Standardowy"/>
    <w:uiPriority w:val="59"/>
    <w:rsid w:val="00177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EF0DE7"/>
    <w:rPr>
      <w:rFonts w:asciiTheme="majorHAnsi" w:eastAsiaTheme="majorEastAsia" w:hAnsiTheme="majorHAnsi" w:cstheme="majorBidi"/>
      <w:color w:val="365F91" w:themeColor="accent1" w:themeShade="BF"/>
      <w:sz w:val="26"/>
      <w:szCs w:val="26"/>
      <w:lang w:eastAsia="pl-PL"/>
    </w:rPr>
  </w:style>
  <w:style w:type="paragraph" w:styleId="Tekstpodstawowy3">
    <w:name w:val="Body Text 3"/>
    <w:basedOn w:val="Normalny"/>
    <w:link w:val="Tekstpodstawowy3Znak"/>
    <w:uiPriority w:val="99"/>
    <w:rsid w:val="00573752"/>
    <w:pPr>
      <w:spacing w:after="120"/>
    </w:pPr>
    <w:rPr>
      <w:rFonts w:eastAsia="Calibri"/>
      <w:sz w:val="16"/>
      <w:szCs w:val="16"/>
    </w:rPr>
  </w:style>
  <w:style w:type="character" w:customStyle="1" w:styleId="Tekstpodstawowy3Znak">
    <w:name w:val="Tekst podstawowy 3 Znak"/>
    <w:basedOn w:val="Domylnaczcionkaakapitu"/>
    <w:link w:val="Tekstpodstawowy3"/>
    <w:uiPriority w:val="99"/>
    <w:rsid w:val="00573752"/>
    <w:rPr>
      <w:rFonts w:ascii="Times New Roman" w:eastAsia="Calibri" w:hAnsi="Times New Roman" w:cs="Times New Roman"/>
      <w:sz w:val="16"/>
      <w:szCs w:val="16"/>
      <w:lang w:eastAsia="pl-PL"/>
    </w:rPr>
  </w:style>
  <w:style w:type="character" w:customStyle="1" w:styleId="FontStyle21">
    <w:name w:val="Font Style21"/>
    <w:basedOn w:val="Domylnaczcionkaakapitu"/>
    <w:uiPriority w:val="99"/>
    <w:rsid w:val="00C42781"/>
    <w:rPr>
      <w:rFonts w:ascii="Century Gothic" w:hAnsi="Century Gothic" w:cs="Century Gothic"/>
      <w:b/>
      <w:bCs/>
      <w:color w:val="000000"/>
      <w:sz w:val="18"/>
      <w:szCs w:val="18"/>
    </w:rPr>
  </w:style>
  <w:style w:type="character" w:styleId="Nierozpoznanawzmianka">
    <w:name w:val="Unresolved Mention"/>
    <w:basedOn w:val="Domylnaczcionkaakapitu"/>
    <w:uiPriority w:val="99"/>
    <w:semiHidden/>
    <w:unhideWhenUsed/>
    <w:rsid w:val="004314C6"/>
    <w:rPr>
      <w:color w:val="605E5C"/>
      <w:shd w:val="clear" w:color="auto" w:fill="E1DFDD"/>
    </w:rPr>
  </w:style>
  <w:style w:type="character" w:customStyle="1" w:styleId="fontstyle01">
    <w:name w:val="fontstyle01"/>
    <w:basedOn w:val="Domylnaczcionkaakapitu"/>
    <w:rsid w:val="004F1F08"/>
    <w:rPr>
      <w:rFonts w:ascii="ArialMT" w:hAnsi="ArialMT" w:hint="default"/>
      <w:b w:val="0"/>
      <w:bCs w:val="0"/>
      <w:i w:val="0"/>
      <w:iCs w:val="0"/>
      <w:color w:val="000000"/>
    </w:rPr>
  </w:style>
  <w:style w:type="paragraph" w:customStyle="1" w:styleId="Default">
    <w:name w:val="Default"/>
    <w:basedOn w:val="Normalny"/>
    <w:rsid w:val="004F1F08"/>
    <w:pPr>
      <w:autoSpaceDE w:val="0"/>
      <w:autoSpaceDN w:val="0"/>
    </w:pPr>
    <w:rPr>
      <w:rFonts w:ascii="Century Gothic" w:eastAsiaTheme="minorHAnsi" w:hAnsi="Century Gothic" w:cs="Calibri"/>
      <w:color w:val="000000"/>
      <w:lang w:eastAsia="en-US"/>
    </w:rPr>
  </w:style>
  <w:style w:type="character" w:styleId="UyteHipercze">
    <w:name w:val="FollowedHyperlink"/>
    <w:basedOn w:val="Domylnaczcionkaakapitu"/>
    <w:uiPriority w:val="99"/>
    <w:semiHidden/>
    <w:unhideWhenUsed/>
    <w:rsid w:val="00674DA0"/>
    <w:rPr>
      <w:color w:val="800080" w:themeColor="followedHyperlink"/>
      <w:u w:val="single"/>
    </w:rPr>
  </w:style>
  <w:style w:type="character" w:customStyle="1" w:styleId="Nagwek1Znak">
    <w:name w:val="Nagłówek 1 Znak"/>
    <w:basedOn w:val="Domylnaczcionkaakapitu"/>
    <w:link w:val="Nagwek1"/>
    <w:uiPriority w:val="9"/>
    <w:rsid w:val="00896A20"/>
    <w:rPr>
      <w:rFonts w:asciiTheme="majorHAnsi" w:eastAsiaTheme="majorEastAsia" w:hAnsiTheme="majorHAnsi" w:cstheme="majorBidi"/>
      <w:color w:val="365F91"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6369">
      <w:bodyDiv w:val="1"/>
      <w:marLeft w:val="0"/>
      <w:marRight w:val="0"/>
      <w:marTop w:val="0"/>
      <w:marBottom w:val="0"/>
      <w:divBdr>
        <w:top w:val="none" w:sz="0" w:space="0" w:color="auto"/>
        <w:left w:val="none" w:sz="0" w:space="0" w:color="auto"/>
        <w:bottom w:val="none" w:sz="0" w:space="0" w:color="auto"/>
        <w:right w:val="none" w:sz="0" w:space="0" w:color="auto"/>
      </w:divBdr>
    </w:div>
    <w:div w:id="64572022">
      <w:bodyDiv w:val="1"/>
      <w:marLeft w:val="0"/>
      <w:marRight w:val="0"/>
      <w:marTop w:val="0"/>
      <w:marBottom w:val="0"/>
      <w:divBdr>
        <w:top w:val="none" w:sz="0" w:space="0" w:color="auto"/>
        <w:left w:val="none" w:sz="0" w:space="0" w:color="auto"/>
        <w:bottom w:val="none" w:sz="0" w:space="0" w:color="auto"/>
        <w:right w:val="none" w:sz="0" w:space="0" w:color="auto"/>
      </w:divBdr>
    </w:div>
    <w:div w:id="329916165">
      <w:bodyDiv w:val="1"/>
      <w:marLeft w:val="0"/>
      <w:marRight w:val="0"/>
      <w:marTop w:val="0"/>
      <w:marBottom w:val="0"/>
      <w:divBdr>
        <w:top w:val="none" w:sz="0" w:space="0" w:color="auto"/>
        <w:left w:val="none" w:sz="0" w:space="0" w:color="auto"/>
        <w:bottom w:val="none" w:sz="0" w:space="0" w:color="auto"/>
        <w:right w:val="none" w:sz="0" w:space="0" w:color="auto"/>
      </w:divBdr>
    </w:div>
    <w:div w:id="390004955">
      <w:bodyDiv w:val="1"/>
      <w:marLeft w:val="0"/>
      <w:marRight w:val="0"/>
      <w:marTop w:val="0"/>
      <w:marBottom w:val="0"/>
      <w:divBdr>
        <w:top w:val="none" w:sz="0" w:space="0" w:color="auto"/>
        <w:left w:val="none" w:sz="0" w:space="0" w:color="auto"/>
        <w:bottom w:val="none" w:sz="0" w:space="0" w:color="auto"/>
        <w:right w:val="none" w:sz="0" w:space="0" w:color="auto"/>
      </w:divBdr>
    </w:div>
    <w:div w:id="607396725">
      <w:bodyDiv w:val="1"/>
      <w:marLeft w:val="0"/>
      <w:marRight w:val="0"/>
      <w:marTop w:val="0"/>
      <w:marBottom w:val="0"/>
      <w:divBdr>
        <w:top w:val="none" w:sz="0" w:space="0" w:color="auto"/>
        <w:left w:val="none" w:sz="0" w:space="0" w:color="auto"/>
        <w:bottom w:val="none" w:sz="0" w:space="0" w:color="auto"/>
        <w:right w:val="none" w:sz="0" w:space="0" w:color="auto"/>
      </w:divBdr>
    </w:div>
    <w:div w:id="698431424">
      <w:bodyDiv w:val="1"/>
      <w:marLeft w:val="0"/>
      <w:marRight w:val="0"/>
      <w:marTop w:val="0"/>
      <w:marBottom w:val="0"/>
      <w:divBdr>
        <w:top w:val="none" w:sz="0" w:space="0" w:color="auto"/>
        <w:left w:val="none" w:sz="0" w:space="0" w:color="auto"/>
        <w:bottom w:val="none" w:sz="0" w:space="0" w:color="auto"/>
        <w:right w:val="none" w:sz="0" w:space="0" w:color="auto"/>
      </w:divBdr>
    </w:div>
    <w:div w:id="765886283">
      <w:bodyDiv w:val="1"/>
      <w:marLeft w:val="0"/>
      <w:marRight w:val="0"/>
      <w:marTop w:val="0"/>
      <w:marBottom w:val="0"/>
      <w:divBdr>
        <w:top w:val="none" w:sz="0" w:space="0" w:color="auto"/>
        <w:left w:val="none" w:sz="0" w:space="0" w:color="auto"/>
        <w:bottom w:val="none" w:sz="0" w:space="0" w:color="auto"/>
        <w:right w:val="none" w:sz="0" w:space="0" w:color="auto"/>
      </w:divBdr>
    </w:div>
    <w:div w:id="942684646">
      <w:bodyDiv w:val="1"/>
      <w:marLeft w:val="0"/>
      <w:marRight w:val="0"/>
      <w:marTop w:val="0"/>
      <w:marBottom w:val="0"/>
      <w:divBdr>
        <w:top w:val="none" w:sz="0" w:space="0" w:color="auto"/>
        <w:left w:val="none" w:sz="0" w:space="0" w:color="auto"/>
        <w:bottom w:val="none" w:sz="0" w:space="0" w:color="auto"/>
        <w:right w:val="none" w:sz="0" w:space="0" w:color="auto"/>
      </w:divBdr>
    </w:div>
    <w:div w:id="1056079588">
      <w:bodyDiv w:val="1"/>
      <w:marLeft w:val="0"/>
      <w:marRight w:val="0"/>
      <w:marTop w:val="0"/>
      <w:marBottom w:val="0"/>
      <w:divBdr>
        <w:top w:val="none" w:sz="0" w:space="0" w:color="auto"/>
        <w:left w:val="none" w:sz="0" w:space="0" w:color="auto"/>
        <w:bottom w:val="none" w:sz="0" w:space="0" w:color="auto"/>
        <w:right w:val="none" w:sz="0" w:space="0" w:color="auto"/>
      </w:divBdr>
    </w:div>
    <w:div w:id="1237739687">
      <w:bodyDiv w:val="1"/>
      <w:marLeft w:val="0"/>
      <w:marRight w:val="0"/>
      <w:marTop w:val="0"/>
      <w:marBottom w:val="0"/>
      <w:divBdr>
        <w:top w:val="none" w:sz="0" w:space="0" w:color="auto"/>
        <w:left w:val="none" w:sz="0" w:space="0" w:color="auto"/>
        <w:bottom w:val="none" w:sz="0" w:space="0" w:color="auto"/>
        <w:right w:val="none" w:sz="0" w:space="0" w:color="auto"/>
      </w:divBdr>
    </w:div>
    <w:div w:id="1289243581">
      <w:bodyDiv w:val="1"/>
      <w:marLeft w:val="0"/>
      <w:marRight w:val="0"/>
      <w:marTop w:val="0"/>
      <w:marBottom w:val="0"/>
      <w:divBdr>
        <w:top w:val="none" w:sz="0" w:space="0" w:color="auto"/>
        <w:left w:val="none" w:sz="0" w:space="0" w:color="auto"/>
        <w:bottom w:val="none" w:sz="0" w:space="0" w:color="auto"/>
        <w:right w:val="none" w:sz="0" w:space="0" w:color="auto"/>
      </w:divBdr>
    </w:div>
    <w:div w:id="1662541939">
      <w:bodyDiv w:val="1"/>
      <w:marLeft w:val="0"/>
      <w:marRight w:val="0"/>
      <w:marTop w:val="0"/>
      <w:marBottom w:val="0"/>
      <w:divBdr>
        <w:top w:val="none" w:sz="0" w:space="0" w:color="auto"/>
        <w:left w:val="none" w:sz="0" w:space="0" w:color="auto"/>
        <w:bottom w:val="none" w:sz="0" w:space="0" w:color="auto"/>
        <w:right w:val="none" w:sz="0" w:space="0" w:color="auto"/>
      </w:divBdr>
    </w:div>
    <w:div w:id="1758013025">
      <w:bodyDiv w:val="1"/>
      <w:marLeft w:val="0"/>
      <w:marRight w:val="0"/>
      <w:marTop w:val="0"/>
      <w:marBottom w:val="0"/>
      <w:divBdr>
        <w:top w:val="none" w:sz="0" w:space="0" w:color="auto"/>
        <w:left w:val="none" w:sz="0" w:space="0" w:color="auto"/>
        <w:bottom w:val="none" w:sz="0" w:space="0" w:color="auto"/>
        <w:right w:val="none" w:sz="0" w:space="0" w:color="auto"/>
      </w:divBdr>
    </w:div>
    <w:div w:id="1813474334">
      <w:bodyDiv w:val="1"/>
      <w:marLeft w:val="0"/>
      <w:marRight w:val="0"/>
      <w:marTop w:val="0"/>
      <w:marBottom w:val="0"/>
      <w:divBdr>
        <w:top w:val="none" w:sz="0" w:space="0" w:color="auto"/>
        <w:left w:val="none" w:sz="0" w:space="0" w:color="auto"/>
        <w:bottom w:val="none" w:sz="0" w:space="0" w:color="auto"/>
        <w:right w:val="none" w:sz="0" w:space="0" w:color="auto"/>
      </w:divBdr>
    </w:div>
    <w:div w:id="1817642309">
      <w:bodyDiv w:val="1"/>
      <w:marLeft w:val="0"/>
      <w:marRight w:val="0"/>
      <w:marTop w:val="0"/>
      <w:marBottom w:val="0"/>
      <w:divBdr>
        <w:top w:val="none" w:sz="0" w:space="0" w:color="auto"/>
        <w:left w:val="none" w:sz="0" w:space="0" w:color="auto"/>
        <w:bottom w:val="none" w:sz="0" w:space="0" w:color="auto"/>
        <w:right w:val="none" w:sz="0" w:space="0" w:color="auto"/>
      </w:divBdr>
    </w:div>
    <w:div w:id="2044285401">
      <w:bodyDiv w:val="1"/>
      <w:marLeft w:val="0"/>
      <w:marRight w:val="0"/>
      <w:marTop w:val="0"/>
      <w:marBottom w:val="0"/>
      <w:divBdr>
        <w:top w:val="none" w:sz="0" w:space="0" w:color="auto"/>
        <w:left w:val="none" w:sz="0" w:space="0" w:color="auto"/>
        <w:bottom w:val="none" w:sz="0" w:space="0" w:color="auto"/>
        <w:right w:val="none" w:sz="0" w:space="0" w:color="auto"/>
      </w:divBdr>
    </w:div>
    <w:div w:id="2088379819">
      <w:bodyDiv w:val="1"/>
      <w:marLeft w:val="0"/>
      <w:marRight w:val="0"/>
      <w:marTop w:val="0"/>
      <w:marBottom w:val="0"/>
      <w:divBdr>
        <w:top w:val="none" w:sz="0" w:space="0" w:color="auto"/>
        <w:left w:val="none" w:sz="0" w:space="0" w:color="auto"/>
        <w:bottom w:val="none" w:sz="0" w:space="0" w:color="auto"/>
        <w:right w:val="none" w:sz="0" w:space="0" w:color="auto"/>
      </w:divBdr>
    </w:div>
    <w:div w:id="2088568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az-system.pl/en/for-suppliers/our-standards/code-of-conduct-for-suppliers.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az-system.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ateusz.gorta@gaz-system.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mateusz.gorta@gaz-system.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eusz.gorta@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5852FBAAF9BA146BF0BFAAE56BC71D7" ma:contentTypeVersion="1" ma:contentTypeDescription="Utwórz nowy dokument." ma:contentTypeScope="" ma:versionID="8df67a99e99f970cf5c05995222a65fa">
  <xsd:schema xmlns:xsd="http://www.w3.org/2001/XMLSchema" xmlns:xs="http://www.w3.org/2001/XMLSchema" xmlns:p="http://schemas.microsoft.com/office/2006/metadata/properties" xmlns:ns2="b80dee64-71ec-4e8b-9662-b554fcad9160" targetNamespace="http://schemas.microsoft.com/office/2006/metadata/properties" ma:root="true" ma:fieldsID="ef3fd35bcc112d15d6966d08466ecd24" ns2:_="">
    <xsd:import namespace="b80dee64-71ec-4e8b-9662-b554fcad916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ee64-71ec-4e8b-9662-b554fcad9160"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3164F-E000-4013-AFFE-CCEC20470EF0}">
  <ds:schemaRefs>
    <ds:schemaRef ds:uri="http://schemas.microsoft.com/sharepoint/v3/contenttype/forms"/>
  </ds:schemaRefs>
</ds:datastoreItem>
</file>

<file path=customXml/itemProps2.xml><?xml version="1.0" encoding="utf-8"?>
<ds:datastoreItem xmlns:ds="http://schemas.openxmlformats.org/officeDocument/2006/customXml" ds:itemID="{3958C66B-2995-4375-8D0B-E66D793733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A904F2-418A-4ACB-8AB8-7B2C80FD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ee64-71ec-4e8b-9662-b554fcad9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FD350-A18A-45AA-83D1-B5F714F5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27</Pages>
  <Words>8704</Words>
  <Characters>52229</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SIWZ - wzór dla NP - 2020.12.30</vt:lpstr>
    </vt:vector>
  </TitlesOfParts>
  <Company>Gaz-System S.A.</Company>
  <LinksUpToDate>false</LinksUpToDate>
  <CharactersWithSpaces>60812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 wzór dla NP - 2020.12.30</dc:title>
  <dc:subject/>
  <dc:creator>Magier Kamil</dc:creator>
  <cp:keywords/>
  <dc:description/>
  <cp:lastModifiedBy>Gorta-Busz Mateusz</cp:lastModifiedBy>
  <cp:revision>6</cp:revision>
  <dcterms:created xsi:type="dcterms:W3CDTF">2023-07-07T08:11:00Z</dcterms:created>
  <dcterms:modified xsi:type="dcterms:W3CDTF">2023-07-11T08:04:00Z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0x010100E5852FBAAF9BA146BF0BFAAE56BC71D7</vt:lpwstr>
  </property>
</Properties>
</file>